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002" w:rsidRPr="00A80A36" w:rsidRDefault="00DF0002" w:rsidP="00BE0E62">
      <w:pPr>
        <w:spacing w:line="240" w:lineRule="atLeast"/>
        <w:jc w:val="both"/>
        <w:rPr>
          <w:rFonts w:ascii="Arial" w:hAnsi="Arial" w:cs="Arial"/>
        </w:rPr>
      </w:pPr>
    </w:p>
    <w:p w:rsidR="00FA64ED" w:rsidRPr="00A80A36" w:rsidRDefault="005021B0" w:rsidP="00BE0E62">
      <w:pPr>
        <w:spacing w:line="240" w:lineRule="atLeast"/>
        <w:jc w:val="both"/>
        <w:rPr>
          <w:rFonts w:ascii="Arial" w:hAnsi="Arial" w:cs="Arial"/>
        </w:rPr>
      </w:pPr>
      <w:r w:rsidRPr="00A80A36">
        <w:rPr>
          <w:rFonts w:ascii="Arial" w:hAnsi="Arial" w:cs="Arial"/>
        </w:rPr>
        <w:t xml:space="preserve"> </w:t>
      </w:r>
    </w:p>
    <w:p w:rsidR="00E44A8A" w:rsidRPr="00A6121E" w:rsidRDefault="00A80A36" w:rsidP="00E44A8A">
      <w:pPr>
        <w:shd w:val="clear" w:color="auto" w:fill="FFFFFF"/>
        <w:spacing w:before="72" w:after="120" w:line="264" w:lineRule="atLeast"/>
        <w:jc w:val="center"/>
        <w:outlineLvl w:val="0"/>
        <w:rPr>
          <w:rFonts w:ascii="Arial" w:hAnsi="Arial" w:cs="Arial"/>
          <w:b/>
          <w:kern w:val="36"/>
          <w:sz w:val="40"/>
          <w:szCs w:val="40"/>
        </w:rPr>
      </w:pPr>
      <w:r w:rsidRPr="00A80A36">
        <w:rPr>
          <w:rFonts w:ascii="Arial" w:hAnsi="Arial" w:cs="Arial"/>
          <w:b/>
          <w:bCs/>
          <w:kern w:val="36"/>
        </w:rPr>
        <w:t xml:space="preserve"> </w:t>
      </w:r>
      <w:r w:rsidR="00E4418C">
        <w:rPr>
          <w:rFonts w:ascii="Arial" w:hAnsi="Arial" w:cs="Arial"/>
        </w:rPr>
        <w:t xml:space="preserve"> </w:t>
      </w:r>
      <w:r w:rsidR="00E44A8A" w:rsidRPr="00A6121E">
        <w:rPr>
          <w:rFonts w:ascii="Arial" w:hAnsi="Arial" w:cs="Arial"/>
          <w:b/>
          <w:kern w:val="36"/>
          <w:sz w:val="40"/>
          <w:szCs w:val="40"/>
        </w:rPr>
        <w:t>LA VENTA DE VIVIENDAS ARRENDADAS TRAS LA LEY 4/2013</w:t>
      </w:r>
    </w:p>
    <w:p w:rsidR="00E44A8A" w:rsidRPr="00A6121E" w:rsidRDefault="00E44A8A" w:rsidP="00E44A8A">
      <w:pPr>
        <w:shd w:val="clear" w:color="auto" w:fill="FFFFFF"/>
        <w:spacing w:before="100" w:beforeAutospacing="1" w:after="240" w:line="360" w:lineRule="atLeast"/>
        <w:jc w:val="both"/>
        <w:rPr>
          <w:rFonts w:ascii="Arial" w:hAnsi="Arial" w:cs="Arial"/>
          <w:b/>
        </w:rPr>
      </w:pPr>
    </w:p>
    <w:p w:rsidR="00E44A8A" w:rsidRPr="00A6121E" w:rsidRDefault="00E44A8A" w:rsidP="00E44A8A">
      <w:pPr>
        <w:shd w:val="clear" w:color="auto" w:fill="FFFFFF"/>
        <w:jc w:val="both"/>
        <w:rPr>
          <w:rFonts w:ascii="Arial" w:hAnsi="Arial" w:cs="Arial"/>
          <w:b/>
        </w:rPr>
      </w:pPr>
      <w:r w:rsidRPr="00A6121E">
        <w:rPr>
          <w:rFonts w:ascii="Arial" w:hAnsi="Arial" w:cs="Arial"/>
          <w:b/>
        </w:rPr>
        <w:br w:type="textWrapping" w:clear="all"/>
        <w:t>En la situación actual del mercado inmobiliario, suelen darse con bastante frecuencia casos en los que un propietario, ante la imposibilidad de venta de su vivienda, optó por ofrecerla en arrendamiento. Transcurrido un tiempo, aparece un comprador interesado en la adquisición de la vivienda, pero es difícil vender la vivienda con un arrendatario… ¿En qué situación queda el arrendamiento?</w:t>
      </w:r>
    </w:p>
    <w:p w:rsidR="00E44A8A" w:rsidRPr="00A6121E" w:rsidRDefault="00E44A8A" w:rsidP="00E44A8A">
      <w:pPr>
        <w:shd w:val="clear" w:color="auto" w:fill="FFFFFF"/>
        <w:jc w:val="both"/>
        <w:rPr>
          <w:rFonts w:ascii="Arial" w:hAnsi="Arial" w:cs="Arial"/>
          <w:b/>
        </w:rPr>
      </w:pPr>
    </w:p>
    <w:p w:rsidR="00E44A8A" w:rsidRPr="00A6121E" w:rsidRDefault="00E44A8A" w:rsidP="00E44A8A">
      <w:pPr>
        <w:shd w:val="clear" w:color="auto" w:fill="FFFFFF"/>
        <w:spacing w:before="100" w:beforeAutospacing="1" w:after="240" w:line="360" w:lineRule="atLeast"/>
        <w:jc w:val="both"/>
        <w:rPr>
          <w:rFonts w:ascii="Arial" w:hAnsi="Arial" w:cs="Arial"/>
          <w:b/>
        </w:rPr>
      </w:pPr>
      <w:r w:rsidRPr="00A6121E">
        <w:rPr>
          <w:rFonts w:ascii="Arial" w:hAnsi="Arial" w:cs="Arial"/>
          <w:b/>
        </w:rPr>
        <w:t xml:space="preserve">Tras las modificaciones operadas en la Ley 29/1994, de Arrendamientos Urbanos (LAU) por la Ley 4/2013, de 4 de junio, de medidas de flexibilización y fomento del mercado del alquiler de viviendas, en vigor desde el pasado 6 de junio de 2013, </w:t>
      </w:r>
      <w:r w:rsidRPr="00A6121E">
        <w:rPr>
          <w:rFonts w:ascii="Arial" w:hAnsi="Arial" w:cs="Arial"/>
          <w:b/>
          <w:bCs/>
        </w:rPr>
        <w:t>aplicable únicamente a los contratos posteriores al 6 de junio de 2013</w:t>
      </w:r>
      <w:r w:rsidRPr="00A6121E">
        <w:rPr>
          <w:rFonts w:ascii="Arial" w:hAnsi="Arial" w:cs="Arial"/>
          <w:b/>
        </w:rPr>
        <w:t xml:space="preserve">, se da un paso hacia la desprotección del inquilino, otorgando especial relevancia a la inscripción de los arrendamientos, como se establece claramente en el nuevo artículo 7.2 LAU. En lo referente a la regulación de la enajenación de viviendas, el artículo 14 LAU, establece dos regímenes distintos en función de si la vivienda arrendada se encuentra inscrita en el Registro de la Propiedad o no. </w:t>
      </w:r>
    </w:p>
    <w:p w:rsidR="00E44A8A" w:rsidRPr="00A6121E" w:rsidRDefault="00E44A8A" w:rsidP="00E44A8A">
      <w:pPr>
        <w:pBdr>
          <w:bottom w:val="single" w:sz="8" w:space="0" w:color="999999"/>
        </w:pBdr>
        <w:shd w:val="clear" w:color="auto" w:fill="FFFFFF"/>
        <w:spacing w:after="120" w:line="264" w:lineRule="atLeast"/>
        <w:jc w:val="both"/>
        <w:outlineLvl w:val="2"/>
        <w:rPr>
          <w:rFonts w:ascii="Arial" w:hAnsi="Arial" w:cs="Arial"/>
          <w:b/>
          <w:bCs/>
          <w:spacing w:val="24"/>
        </w:rPr>
      </w:pPr>
      <w:r w:rsidRPr="00A6121E">
        <w:rPr>
          <w:rFonts w:ascii="Arial" w:hAnsi="Arial" w:cs="Arial"/>
          <w:b/>
          <w:bCs/>
          <w:spacing w:val="24"/>
        </w:rPr>
        <w:t>1.1          Venta de finca inscrita en el Registro de la Propiedad</w:t>
      </w:r>
    </w:p>
    <w:p w:rsidR="00E44A8A" w:rsidRPr="00A6121E" w:rsidRDefault="00E44A8A" w:rsidP="00E44A8A">
      <w:pPr>
        <w:shd w:val="clear" w:color="auto" w:fill="FFFFFF"/>
        <w:spacing w:before="100" w:beforeAutospacing="1" w:after="240" w:line="360" w:lineRule="atLeast"/>
        <w:jc w:val="both"/>
        <w:rPr>
          <w:rFonts w:ascii="Arial" w:hAnsi="Arial" w:cs="Arial"/>
          <w:b/>
        </w:rPr>
      </w:pPr>
      <w:r w:rsidRPr="00A6121E">
        <w:rPr>
          <w:rFonts w:ascii="Arial" w:hAnsi="Arial" w:cs="Arial"/>
          <w:b/>
        </w:rPr>
        <w:lastRenderedPageBreak/>
        <w:t xml:space="preserve">El nuevo artículo 14.1 LAU otorga preeminencia a la compraventa, obligando únicamente a respetar el arrendamiento en caso de que se reúnan dos requisitos de forma cumulativa: </w:t>
      </w:r>
    </w:p>
    <w:p w:rsidR="00E44A8A" w:rsidRPr="00A6121E" w:rsidRDefault="00E44A8A" w:rsidP="00E44A8A">
      <w:pPr>
        <w:numPr>
          <w:ilvl w:val="0"/>
          <w:numId w:val="6"/>
        </w:numPr>
        <w:shd w:val="clear" w:color="auto" w:fill="FFFFFF"/>
        <w:spacing w:before="100" w:beforeAutospacing="1" w:after="168" w:line="360" w:lineRule="atLeast"/>
        <w:ind w:left="480"/>
        <w:jc w:val="both"/>
        <w:rPr>
          <w:rFonts w:ascii="Arial" w:hAnsi="Arial" w:cs="Arial"/>
          <w:b/>
        </w:rPr>
      </w:pPr>
      <w:r w:rsidRPr="00A6121E">
        <w:rPr>
          <w:rFonts w:ascii="Arial" w:hAnsi="Arial" w:cs="Arial"/>
          <w:b/>
        </w:rPr>
        <w:t xml:space="preserve">Que el adquirente reúna los requisitos del artículo 34 LH; y </w:t>
      </w:r>
    </w:p>
    <w:p w:rsidR="00E44A8A" w:rsidRPr="00A6121E" w:rsidRDefault="00E44A8A" w:rsidP="00E44A8A">
      <w:pPr>
        <w:numPr>
          <w:ilvl w:val="0"/>
          <w:numId w:val="6"/>
        </w:numPr>
        <w:shd w:val="clear" w:color="auto" w:fill="FFFFFF"/>
        <w:spacing w:before="100" w:beforeAutospacing="1" w:after="168" w:line="360" w:lineRule="atLeast"/>
        <w:ind w:left="480"/>
        <w:jc w:val="both"/>
        <w:rPr>
          <w:rFonts w:ascii="Arial" w:hAnsi="Arial" w:cs="Arial"/>
          <w:b/>
        </w:rPr>
      </w:pPr>
      <w:r w:rsidRPr="00A6121E">
        <w:rPr>
          <w:rFonts w:ascii="Arial" w:hAnsi="Arial" w:cs="Arial"/>
          <w:b/>
        </w:rPr>
        <w:t xml:space="preserve">Que el arrendamiento se encuentre inscrito en el Registro de la Propiedad con anterioridad a la compraventa. </w:t>
      </w:r>
    </w:p>
    <w:p w:rsidR="00E44A8A" w:rsidRPr="00A6121E" w:rsidRDefault="00E44A8A" w:rsidP="00E44A8A">
      <w:pPr>
        <w:shd w:val="clear" w:color="auto" w:fill="FFFFFF"/>
        <w:spacing w:before="100" w:beforeAutospacing="1" w:after="240" w:line="360" w:lineRule="atLeast"/>
        <w:jc w:val="both"/>
        <w:rPr>
          <w:rFonts w:ascii="Arial" w:hAnsi="Arial" w:cs="Arial"/>
          <w:b/>
        </w:rPr>
      </w:pPr>
      <w:r w:rsidRPr="00A6121E">
        <w:rPr>
          <w:rFonts w:ascii="Arial" w:hAnsi="Arial" w:cs="Arial"/>
          <w:b/>
        </w:rPr>
        <w:t xml:space="preserve">Por lo que respecta al primer requisito, de entre los criterios que el artículo 34 LH establece otorgar la consideración de tercero hipotecario y goce de la protección que la Ley Hipotecaria le otorga se encuentra el de que </w:t>
      </w:r>
      <w:r w:rsidRPr="00A6121E">
        <w:rPr>
          <w:rFonts w:ascii="Arial" w:hAnsi="Arial" w:cs="Arial"/>
          <w:b/>
          <w:bCs/>
        </w:rPr>
        <w:t xml:space="preserve">el adquirente lo sea de buena fe, que se ha configurado tradicionalmente como desconocimiento de la situación </w:t>
      </w:r>
      <w:proofErr w:type="spellStart"/>
      <w:r w:rsidRPr="00A6121E">
        <w:rPr>
          <w:rFonts w:ascii="Arial" w:hAnsi="Arial" w:cs="Arial"/>
          <w:b/>
          <w:bCs/>
        </w:rPr>
        <w:t>extrarregistral</w:t>
      </w:r>
      <w:proofErr w:type="spellEnd"/>
      <w:r w:rsidRPr="00A6121E">
        <w:rPr>
          <w:rFonts w:ascii="Arial" w:hAnsi="Arial" w:cs="Arial"/>
          <w:b/>
        </w:rPr>
        <w:t xml:space="preserve">. </w:t>
      </w:r>
    </w:p>
    <w:p w:rsidR="00E44A8A" w:rsidRPr="00A6121E" w:rsidRDefault="00E44A8A" w:rsidP="00E44A8A">
      <w:pPr>
        <w:shd w:val="clear" w:color="auto" w:fill="FFFFFF"/>
        <w:spacing w:before="100" w:beforeAutospacing="1" w:after="240" w:line="360" w:lineRule="atLeast"/>
        <w:jc w:val="both"/>
        <w:rPr>
          <w:rFonts w:ascii="Arial" w:hAnsi="Arial" w:cs="Arial"/>
          <w:b/>
        </w:rPr>
      </w:pPr>
      <w:r w:rsidRPr="00A6121E">
        <w:rPr>
          <w:rFonts w:ascii="Arial" w:hAnsi="Arial" w:cs="Arial"/>
          <w:b/>
        </w:rPr>
        <w:t xml:space="preserve">Ante esta situación, han surgido dos corrientes interpretativas del principio: </w:t>
      </w:r>
    </w:p>
    <w:p w:rsidR="00E44A8A" w:rsidRPr="00A6121E" w:rsidRDefault="00E44A8A" w:rsidP="00E44A8A">
      <w:pPr>
        <w:numPr>
          <w:ilvl w:val="0"/>
          <w:numId w:val="7"/>
        </w:numPr>
        <w:shd w:val="clear" w:color="auto" w:fill="FFFFFF"/>
        <w:spacing w:before="100" w:beforeAutospacing="1" w:after="168" w:line="360" w:lineRule="atLeast"/>
        <w:ind w:left="480"/>
        <w:jc w:val="both"/>
        <w:rPr>
          <w:rFonts w:ascii="Arial" w:hAnsi="Arial" w:cs="Arial"/>
          <w:b/>
        </w:rPr>
      </w:pPr>
      <w:r w:rsidRPr="00A6121E">
        <w:rPr>
          <w:rFonts w:ascii="Arial" w:hAnsi="Arial" w:cs="Arial"/>
          <w:b/>
        </w:rPr>
        <w:t xml:space="preserve">Por un lado, están quienes defienden que </w:t>
      </w:r>
      <w:r w:rsidRPr="00A6121E">
        <w:rPr>
          <w:rFonts w:ascii="Arial" w:hAnsi="Arial" w:cs="Arial"/>
          <w:b/>
          <w:bCs/>
        </w:rPr>
        <w:t xml:space="preserve">el conocimiento, aun por medios </w:t>
      </w:r>
      <w:proofErr w:type="spellStart"/>
      <w:r w:rsidRPr="00A6121E">
        <w:rPr>
          <w:rFonts w:ascii="Arial" w:hAnsi="Arial" w:cs="Arial"/>
          <w:b/>
          <w:bCs/>
        </w:rPr>
        <w:t>extrarregistrales</w:t>
      </w:r>
      <w:proofErr w:type="spellEnd"/>
      <w:r w:rsidRPr="00A6121E">
        <w:rPr>
          <w:rFonts w:ascii="Arial" w:hAnsi="Arial" w:cs="Arial"/>
          <w:b/>
          <w:bCs/>
        </w:rPr>
        <w:t xml:space="preserve"> de la existencia el arrendamiento quiebra la buena fe que exige el artículo 14.1 LAU</w:t>
      </w:r>
      <w:r w:rsidRPr="00A6121E">
        <w:rPr>
          <w:rFonts w:ascii="Arial" w:hAnsi="Arial" w:cs="Arial"/>
          <w:b/>
        </w:rPr>
        <w:t xml:space="preserve">, por lo que el adquirente de finca inscrita que conozca la existencia del arrendamiento no inscrito, </w:t>
      </w:r>
      <w:r w:rsidRPr="00A6121E">
        <w:rPr>
          <w:rFonts w:ascii="Arial" w:hAnsi="Arial" w:cs="Arial"/>
          <w:b/>
          <w:bCs/>
        </w:rPr>
        <w:t>deberá respetarlo obligatoriamente</w:t>
      </w:r>
      <w:r w:rsidRPr="00A6121E">
        <w:rPr>
          <w:rFonts w:ascii="Arial" w:hAnsi="Arial" w:cs="Arial"/>
          <w:b/>
        </w:rPr>
        <w:t xml:space="preserve">. </w:t>
      </w:r>
    </w:p>
    <w:p w:rsidR="00E44A8A" w:rsidRPr="00A6121E" w:rsidRDefault="00E44A8A" w:rsidP="00E44A8A">
      <w:pPr>
        <w:shd w:val="clear" w:color="auto" w:fill="FFFFFF"/>
        <w:spacing w:before="100" w:beforeAutospacing="1" w:after="240" w:line="360" w:lineRule="atLeast"/>
        <w:jc w:val="both"/>
        <w:rPr>
          <w:rFonts w:ascii="Arial" w:hAnsi="Arial" w:cs="Arial"/>
          <w:b/>
        </w:rPr>
      </w:pPr>
      <w:r w:rsidRPr="00A6121E">
        <w:rPr>
          <w:rFonts w:ascii="Arial" w:hAnsi="Arial" w:cs="Arial"/>
          <w:b/>
        </w:rPr>
        <w:t xml:space="preserve">Como medios de quiebra de esta buena fe, tendríamos, entre otros, los siguientes: </w:t>
      </w:r>
    </w:p>
    <w:p w:rsidR="00E44A8A" w:rsidRPr="00A6121E" w:rsidRDefault="00E44A8A" w:rsidP="00E44A8A">
      <w:pPr>
        <w:numPr>
          <w:ilvl w:val="0"/>
          <w:numId w:val="8"/>
        </w:numPr>
        <w:shd w:val="clear" w:color="auto" w:fill="FFFFFF"/>
        <w:spacing w:before="100" w:beforeAutospacing="1" w:after="168" w:line="360" w:lineRule="atLeast"/>
        <w:ind w:left="480"/>
        <w:jc w:val="both"/>
        <w:rPr>
          <w:rFonts w:ascii="Arial" w:hAnsi="Arial" w:cs="Arial"/>
          <w:b/>
        </w:rPr>
      </w:pPr>
      <w:r w:rsidRPr="00A6121E">
        <w:rPr>
          <w:rFonts w:ascii="Arial" w:hAnsi="Arial" w:cs="Arial"/>
          <w:b/>
        </w:rPr>
        <w:t xml:space="preserve">Es difícil alegar el desconocimiento de un arrendamiento si, </w:t>
      </w:r>
      <w:r w:rsidRPr="00A6121E">
        <w:rPr>
          <w:rFonts w:ascii="Arial" w:hAnsi="Arial" w:cs="Arial"/>
          <w:b/>
          <w:bCs/>
        </w:rPr>
        <w:t>al visitar el inmueble, se observa que está ocupado por un tercero</w:t>
      </w:r>
      <w:r w:rsidRPr="00A6121E">
        <w:rPr>
          <w:rFonts w:ascii="Arial" w:hAnsi="Arial" w:cs="Arial"/>
          <w:b/>
        </w:rPr>
        <w:t xml:space="preserve">. La pregunta es obvia: </w:t>
      </w:r>
      <w:r w:rsidRPr="00A6121E">
        <w:rPr>
          <w:rFonts w:ascii="Arial" w:hAnsi="Arial" w:cs="Arial"/>
          <w:b/>
          <w:bCs/>
          <w:iCs/>
        </w:rPr>
        <w:t>¿Y éste qué hace aquí?</w:t>
      </w:r>
      <w:r w:rsidRPr="00A6121E">
        <w:rPr>
          <w:rFonts w:ascii="Arial" w:hAnsi="Arial" w:cs="Arial"/>
          <w:b/>
        </w:rPr>
        <w:t xml:space="preserve"> </w:t>
      </w:r>
    </w:p>
    <w:p w:rsidR="00E44A8A" w:rsidRPr="00A6121E" w:rsidRDefault="00E44A8A" w:rsidP="00E44A8A">
      <w:pPr>
        <w:numPr>
          <w:ilvl w:val="0"/>
          <w:numId w:val="8"/>
        </w:numPr>
        <w:shd w:val="clear" w:color="auto" w:fill="FFFFFF"/>
        <w:spacing w:before="100" w:beforeAutospacing="1" w:after="168" w:line="360" w:lineRule="atLeast"/>
        <w:ind w:left="480"/>
        <w:jc w:val="both"/>
        <w:rPr>
          <w:rFonts w:ascii="Arial" w:hAnsi="Arial" w:cs="Arial"/>
          <w:b/>
        </w:rPr>
      </w:pPr>
      <w:r w:rsidRPr="00A6121E">
        <w:rPr>
          <w:rFonts w:ascii="Arial" w:hAnsi="Arial" w:cs="Arial"/>
          <w:b/>
        </w:rPr>
        <w:lastRenderedPageBreak/>
        <w:t xml:space="preserve">Por tanto, parece que sería únicamente aplicable a supuestos de venta de inmuebles en bloque que el adquirente no haya revisado físicamente (SAREB, adjudicados bancarios, etc.). </w:t>
      </w:r>
    </w:p>
    <w:p w:rsidR="00E44A8A" w:rsidRPr="00A6121E" w:rsidRDefault="00E44A8A" w:rsidP="00E44A8A">
      <w:pPr>
        <w:numPr>
          <w:ilvl w:val="0"/>
          <w:numId w:val="8"/>
        </w:numPr>
        <w:shd w:val="clear" w:color="auto" w:fill="FFFFFF"/>
        <w:spacing w:before="100" w:beforeAutospacing="1" w:after="168" w:line="360" w:lineRule="atLeast"/>
        <w:ind w:left="480"/>
        <w:jc w:val="both"/>
        <w:rPr>
          <w:rFonts w:ascii="Arial" w:hAnsi="Arial" w:cs="Arial"/>
          <w:b/>
        </w:rPr>
      </w:pPr>
      <w:r w:rsidRPr="00A6121E">
        <w:rPr>
          <w:rFonts w:ascii="Arial" w:hAnsi="Arial" w:cs="Arial"/>
          <w:b/>
        </w:rPr>
        <w:t xml:space="preserve">Porque la LAU obliga en su artículo 25.5 que, para que la transmisión sea inscribible en el Registro de la Propiedad, que </w:t>
      </w:r>
      <w:r w:rsidRPr="00A6121E">
        <w:rPr>
          <w:rFonts w:ascii="Arial" w:hAnsi="Arial" w:cs="Arial"/>
          <w:b/>
          <w:bCs/>
        </w:rPr>
        <w:t>en la escritura se señale expresamente, bajo pena de falsedad en documento público,  la situación arrendaticia.</w:t>
      </w:r>
      <w:r w:rsidRPr="00A6121E">
        <w:rPr>
          <w:rFonts w:ascii="Arial" w:hAnsi="Arial" w:cs="Arial"/>
          <w:b/>
        </w:rPr>
        <w:t xml:space="preserve"> </w:t>
      </w:r>
    </w:p>
    <w:p w:rsidR="00E44A8A" w:rsidRPr="00A6121E" w:rsidRDefault="00E44A8A" w:rsidP="00E44A8A">
      <w:pPr>
        <w:shd w:val="clear" w:color="auto" w:fill="FFFFFF"/>
        <w:spacing w:before="100" w:beforeAutospacing="1" w:after="240" w:line="360" w:lineRule="atLeast"/>
        <w:jc w:val="both"/>
        <w:rPr>
          <w:rFonts w:ascii="Arial" w:hAnsi="Arial" w:cs="Arial"/>
          <w:b/>
        </w:rPr>
      </w:pPr>
      <w:r w:rsidRPr="00A6121E">
        <w:rPr>
          <w:rFonts w:ascii="Arial" w:hAnsi="Arial" w:cs="Arial"/>
          <w:b/>
        </w:rPr>
        <w:t xml:space="preserve">En este caso, únicamente podría ser tercero hipotecario a costa de un delito por parte de mi transmitente a la hora de declarar la situación arrendaticia del inmueble. </w:t>
      </w:r>
    </w:p>
    <w:p w:rsidR="00E44A8A" w:rsidRPr="00A6121E" w:rsidRDefault="00E44A8A" w:rsidP="00E44A8A">
      <w:pPr>
        <w:numPr>
          <w:ilvl w:val="0"/>
          <w:numId w:val="9"/>
        </w:numPr>
        <w:shd w:val="clear" w:color="auto" w:fill="FFFFFF"/>
        <w:spacing w:before="100" w:beforeAutospacing="1" w:after="168" w:line="360" w:lineRule="atLeast"/>
        <w:ind w:left="480"/>
        <w:jc w:val="both"/>
        <w:rPr>
          <w:rFonts w:ascii="Arial" w:hAnsi="Arial" w:cs="Arial"/>
          <w:b/>
        </w:rPr>
      </w:pPr>
      <w:r w:rsidRPr="00A6121E">
        <w:rPr>
          <w:rFonts w:ascii="Arial" w:hAnsi="Arial" w:cs="Arial"/>
          <w:b/>
        </w:rPr>
        <w:t xml:space="preserve">Por otro lado, hay autores que, con una visión fuertemente </w:t>
      </w:r>
      <w:proofErr w:type="spellStart"/>
      <w:r w:rsidRPr="00A6121E">
        <w:rPr>
          <w:rFonts w:ascii="Arial" w:hAnsi="Arial" w:cs="Arial"/>
          <w:b/>
        </w:rPr>
        <w:t>hipotecarista</w:t>
      </w:r>
      <w:proofErr w:type="spellEnd"/>
      <w:r w:rsidRPr="00A6121E">
        <w:rPr>
          <w:rFonts w:ascii="Arial" w:hAnsi="Arial" w:cs="Arial"/>
          <w:b/>
        </w:rPr>
        <w:t xml:space="preserve">, consideran </w:t>
      </w:r>
      <w:r w:rsidRPr="00A6121E">
        <w:rPr>
          <w:rFonts w:ascii="Arial" w:hAnsi="Arial" w:cs="Arial"/>
          <w:b/>
          <w:bCs/>
        </w:rPr>
        <w:t>que la necesidad de la buena fe del adquirente en estos casos se refiere a una buena fe meramente registral</w:t>
      </w:r>
      <w:r w:rsidRPr="00A6121E">
        <w:rPr>
          <w:rFonts w:ascii="Arial" w:hAnsi="Arial" w:cs="Arial"/>
          <w:b/>
        </w:rPr>
        <w:t>. Para ello, se basan en una interpretación conjunta de los artículos 7 y 10 LAU a los que remite expresamente el artículo 14.1 LAU, así como la propia exposición de motivos de la Ley 4/2013, que señala que la intención es normalizar el régimen jurídico del arrendamiento de viviendas sometiéndolo "</w:t>
      </w:r>
      <w:r w:rsidRPr="00A6121E">
        <w:rPr>
          <w:rFonts w:ascii="Arial" w:hAnsi="Arial" w:cs="Arial"/>
          <w:b/>
          <w:iCs/>
        </w:rPr>
        <w:t xml:space="preserve">al régimen general establecido por nuestro sistema de seguridad del tráfico jurídico inmobiliario y, en consecuencia, en primer lugar, que </w:t>
      </w:r>
      <w:r w:rsidRPr="00A6121E">
        <w:rPr>
          <w:rFonts w:ascii="Arial" w:hAnsi="Arial" w:cs="Arial"/>
          <w:b/>
          <w:bCs/>
          <w:iCs/>
        </w:rPr>
        <w:t>los arrendamientos no inscritos sobre fincas urbanas no puedan surtir efectos frente a terceros adquirentes que inscriban su derecho</w:t>
      </w:r>
      <w:r w:rsidRPr="00A6121E">
        <w:rPr>
          <w:rFonts w:ascii="Arial" w:hAnsi="Arial" w:cs="Arial"/>
          <w:b/>
          <w:iCs/>
        </w:rPr>
        <w:t xml:space="preserve"> y, en segundo lugar, que </w:t>
      </w:r>
      <w:r w:rsidRPr="00A6121E">
        <w:rPr>
          <w:rFonts w:ascii="Arial" w:hAnsi="Arial" w:cs="Arial"/>
          <w:b/>
          <w:bCs/>
          <w:iCs/>
        </w:rPr>
        <w:t>el tercero adquirente de una vivienda que reúna los requisitos exigidos por el artículo 34 de la Ley Hipotecaria, no pueda resultar perjudicado por la existencia de un arrendamiento no inscrito.</w:t>
      </w:r>
      <w:r w:rsidRPr="00A6121E">
        <w:rPr>
          <w:rFonts w:ascii="Arial" w:hAnsi="Arial" w:cs="Arial"/>
          <w:b/>
          <w:iCs/>
        </w:rPr>
        <w:t xml:space="preserve"> Todo ello, sin mengua alguna de los derechos ni del arrendador, ni del arrendatario."</w:t>
      </w:r>
      <w:r w:rsidRPr="00A6121E">
        <w:rPr>
          <w:rFonts w:ascii="Arial" w:hAnsi="Arial" w:cs="Arial"/>
          <w:b/>
        </w:rPr>
        <w:t xml:space="preserve"> </w:t>
      </w:r>
    </w:p>
    <w:p w:rsidR="00E44A8A" w:rsidRPr="00A6121E" w:rsidRDefault="00E44A8A" w:rsidP="00E44A8A">
      <w:pPr>
        <w:shd w:val="clear" w:color="auto" w:fill="FFFFFF"/>
        <w:spacing w:before="100" w:beforeAutospacing="1" w:after="240" w:line="360" w:lineRule="atLeast"/>
        <w:jc w:val="both"/>
        <w:rPr>
          <w:rFonts w:ascii="Arial" w:hAnsi="Arial" w:cs="Arial"/>
          <w:b/>
        </w:rPr>
      </w:pPr>
      <w:r w:rsidRPr="00A6121E">
        <w:rPr>
          <w:rFonts w:ascii="Arial" w:hAnsi="Arial" w:cs="Arial"/>
          <w:b/>
        </w:rPr>
        <w:lastRenderedPageBreak/>
        <w:t xml:space="preserve">Por todo ello, esta corriente opina que </w:t>
      </w:r>
      <w:r w:rsidRPr="00A6121E">
        <w:rPr>
          <w:rFonts w:ascii="Arial" w:hAnsi="Arial" w:cs="Arial"/>
          <w:b/>
          <w:bCs/>
        </w:rPr>
        <w:t>si el arrendamiento no consta inscrito, no será oponible al nuevo adquirente</w:t>
      </w:r>
      <w:r w:rsidRPr="00A6121E">
        <w:rPr>
          <w:rFonts w:ascii="Arial" w:hAnsi="Arial" w:cs="Arial"/>
          <w:b/>
        </w:rPr>
        <w:t xml:space="preserve">, pudiendo el comprador de finca inscrita resolverlo directamente a su voluntad. </w:t>
      </w:r>
    </w:p>
    <w:p w:rsidR="00E44A8A" w:rsidRPr="00A6121E" w:rsidRDefault="00E44A8A" w:rsidP="00E44A8A">
      <w:pPr>
        <w:shd w:val="clear" w:color="auto" w:fill="FFFFFF"/>
        <w:spacing w:before="100" w:beforeAutospacing="1" w:after="240" w:line="360" w:lineRule="atLeast"/>
        <w:jc w:val="both"/>
        <w:rPr>
          <w:rFonts w:ascii="Arial" w:hAnsi="Arial" w:cs="Arial"/>
          <w:b/>
        </w:rPr>
      </w:pPr>
      <w:r w:rsidRPr="00A6121E">
        <w:rPr>
          <w:rFonts w:ascii="Arial" w:hAnsi="Arial" w:cs="Arial"/>
          <w:b/>
        </w:rPr>
        <w:t xml:space="preserve">Personalmente, me decantaría por esta segunda opción por dos motivos principales: </w:t>
      </w:r>
    </w:p>
    <w:p w:rsidR="00E44A8A" w:rsidRPr="00A6121E" w:rsidRDefault="00E44A8A" w:rsidP="00E44A8A">
      <w:pPr>
        <w:numPr>
          <w:ilvl w:val="0"/>
          <w:numId w:val="10"/>
        </w:numPr>
        <w:shd w:val="clear" w:color="auto" w:fill="FFFFFF"/>
        <w:spacing w:before="100" w:beforeAutospacing="1" w:after="168" w:line="360" w:lineRule="atLeast"/>
        <w:ind w:left="480"/>
        <w:jc w:val="both"/>
        <w:rPr>
          <w:rFonts w:ascii="Arial" w:hAnsi="Arial" w:cs="Arial"/>
          <w:b/>
        </w:rPr>
      </w:pPr>
      <w:r w:rsidRPr="00A6121E">
        <w:rPr>
          <w:rFonts w:ascii="Arial" w:hAnsi="Arial" w:cs="Arial"/>
          <w:b/>
        </w:rPr>
        <w:t xml:space="preserve">Porque el espíritu de la Ley 4/2013 es el de la </w:t>
      </w:r>
      <w:proofErr w:type="spellStart"/>
      <w:r w:rsidRPr="00A6121E">
        <w:rPr>
          <w:rFonts w:ascii="Arial" w:hAnsi="Arial" w:cs="Arial"/>
          <w:b/>
        </w:rPr>
        <w:t>inoponibilidad</w:t>
      </w:r>
      <w:proofErr w:type="spellEnd"/>
      <w:r w:rsidRPr="00A6121E">
        <w:rPr>
          <w:rFonts w:ascii="Arial" w:hAnsi="Arial" w:cs="Arial"/>
          <w:b/>
        </w:rPr>
        <w:t xml:space="preserve"> de los arrendamientos no inscritos, como se señala en el art. 7.2 y 14.1 LAU, además de en la exposición de </w:t>
      </w:r>
      <w:proofErr w:type="spellStart"/>
      <w:r w:rsidRPr="00A6121E">
        <w:rPr>
          <w:rFonts w:ascii="Arial" w:hAnsi="Arial" w:cs="Arial"/>
          <w:b/>
        </w:rPr>
        <w:t>motivios</w:t>
      </w:r>
      <w:proofErr w:type="spellEnd"/>
      <w:r w:rsidRPr="00A6121E">
        <w:rPr>
          <w:rFonts w:ascii="Arial" w:hAnsi="Arial" w:cs="Arial"/>
          <w:b/>
        </w:rPr>
        <w:t xml:space="preserve">. </w:t>
      </w:r>
    </w:p>
    <w:p w:rsidR="00E44A8A" w:rsidRPr="00A6121E" w:rsidRDefault="00E44A8A" w:rsidP="00E44A8A">
      <w:pPr>
        <w:numPr>
          <w:ilvl w:val="0"/>
          <w:numId w:val="10"/>
        </w:numPr>
        <w:shd w:val="clear" w:color="auto" w:fill="FFFFFF"/>
        <w:spacing w:before="100" w:beforeAutospacing="1" w:after="168" w:line="360" w:lineRule="atLeast"/>
        <w:ind w:left="480"/>
        <w:jc w:val="both"/>
        <w:rPr>
          <w:rFonts w:ascii="Arial" w:hAnsi="Arial" w:cs="Arial"/>
          <w:b/>
        </w:rPr>
      </w:pPr>
      <w:r w:rsidRPr="00A6121E">
        <w:rPr>
          <w:rFonts w:ascii="Arial" w:hAnsi="Arial" w:cs="Arial"/>
          <w:b/>
        </w:rPr>
        <w:t xml:space="preserve">Porque, por pura coherencia interna de la norma, no se puede exigir un desconocimiento en el que únicamente puede incurrirse a costa del delito (falsedad en documento público) de quien me transmite. </w:t>
      </w:r>
    </w:p>
    <w:p w:rsidR="00E44A8A" w:rsidRPr="00A6121E" w:rsidRDefault="00E44A8A" w:rsidP="00E44A8A">
      <w:pPr>
        <w:shd w:val="clear" w:color="auto" w:fill="FFFFFF"/>
        <w:spacing w:before="100" w:beforeAutospacing="1" w:after="240" w:line="360" w:lineRule="atLeast"/>
        <w:jc w:val="both"/>
        <w:rPr>
          <w:rFonts w:ascii="Arial" w:hAnsi="Arial" w:cs="Arial"/>
          <w:b/>
        </w:rPr>
      </w:pPr>
      <w:r w:rsidRPr="00A6121E">
        <w:rPr>
          <w:rFonts w:ascii="Arial" w:hAnsi="Arial" w:cs="Arial"/>
          <w:b/>
        </w:rPr>
        <w:t xml:space="preserve">No obstante, </w:t>
      </w:r>
      <w:r w:rsidRPr="00A6121E">
        <w:rPr>
          <w:rFonts w:ascii="Arial" w:hAnsi="Arial" w:cs="Arial"/>
          <w:b/>
          <w:bCs/>
        </w:rPr>
        <w:t>la falta de técnica jurídica por parte del legislador permite ambas interpretaciones, por lo que será necesario esperar a que la jurisprudencia se pronuncie.</w:t>
      </w:r>
      <w:r w:rsidRPr="00A6121E">
        <w:rPr>
          <w:rFonts w:ascii="Arial" w:hAnsi="Arial" w:cs="Arial"/>
          <w:b/>
        </w:rPr>
        <w:t xml:space="preserve"> </w:t>
      </w:r>
    </w:p>
    <w:p w:rsidR="00E44A8A" w:rsidRPr="00A6121E" w:rsidRDefault="00E44A8A" w:rsidP="00E44A8A">
      <w:pPr>
        <w:shd w:val="clear" w:color="auto" w:fill="FFFFFF"/>
        <w:spacing w:before="100" w:beforeAutospacing="1" w:after="240" w:line="360" w:lineRule="atLeast"/>
        <w:jc w:val="both"/>
        <w:rPr>
          <w:rFonts w:ascii="Arial" w:hAnsi="Arial" w:cs="Arial"/>
          <w:b/>
        </w:rPr>
      </w:pPr>
      <w:r w:rsidRPr="00A6121E">
        <w:rPr>
          <w:rFonts w:ascii="Arial" w:hAnsi="Arial" w:cs="Arial"/>
          <w:b/>
        </w:rPr>
        <w:t xml:space="preserve">Adicionalmente, la Ley no señala las consecuencias jurídicas de los supuestos en los que el arrendamiento no se encuentre inscrito o, de encontrarse, el adquirente sí reúna los requisitos del artículo 34 LH. En estos casos, se entiende que la falta de regulación nos remitiría directamente al artículo 1.571 CC, si cabe entender necesaria una </w:t>
      </w:r>
      <w:r w:rsidRPr="00A6121E">
        <w:rPr>
          <w:rFonts w:ascii="Arial" w:hAnsi="Arial" w:cs="Arial"/>
          <w:b/>
          <w:bCs/>
        </w:rPr>
        <w:t>integración conjunta con el 14.2 LAU</w:t>
      </w:r>
      <w:r w:rsidRPr="00A6121E">
        <w:rPr>
          <w:rFonts w:ascii="Arial" w:hAnsi="Arial" w:cs="Arial"/>
          <w:b/>
        </w:rPr>
        <w:t xml:space="preserve">, por lo que arrendatario </w:t>
      </w:r>
      <w:r w:rsidRPr="00A6121E">
        <w:rPr>
          <w:rFonts w:ascii="Arial" w:hAnsi="Arial" w:cs="Arial"/>
          <w:b/>
          <w:bCs/>
        </w:rPr>
        <w:t>podría pedir un "plazo de gracia" de 3 meses</w:t>
      </w:r>
      <w:r w:rsidRPr="00A6121E">
        <w:rPr>
          <w:rFonts w:ascii="Arial" w:hAnsi="Arial" w:cs="Arial"/>
          <w:b/>
        </w:rPr>
        <w:t xml:space="preserve">, y </w:t>
      </w:r>
      <w:r w:rsidRPr="00A6121E">
        <w:rPr>
          <w:rFonts w:ascii="Arial" w:hAnsi="Arial" w:cs="Arial"/>
          <w:b/>
          <w:bCs/>
        </w:rPr>
        <w:t>reclamar una indemnización al vendedor</w:t>
      </w:r>
      <w:r w:rsidRPr="00A6121E">
        <w:rPr>
          <w:rFonts w:ascii="Arial" w:hAnsi="Arial" w:cs="Arial"/>
          <w:b/>
        </w:rPr>
        <w:t xml:space="preserve"> por los daños y perjuicios ocasionados. </w:t>
      </w:r>
    </w:p>
    <w:p w:rsidR="00E44A8A" w:rsidRPr="00A6121E" w:rsidRDefault="00E44A8A" w:rsidP="00E44A8A">
      <w:pPr>
        <w:pBdr>
          <w:bottom w:val="single" w:sz="8" w:space="0" w:color="999999"/>
        </w:pBdr>
        <w:shd w:val="clear" w:color="auto" w:fill="FFFFFF"/>
        <w:spacing w:after="120" w:line="264" w:lineRule="atLeast"/>
        <w:jc w:val="both"/>
        <w:outlineLvl w:val="2"/>
        <w:rPr>
          <w:rFonts w:ascii="Arial" w:hAnsi="Arial" w:cs="Arial"/>
          <w:b/>
          <w:bCs/>
          <w:spacing w:val="24"/>
        </w:rPr>
      </w:pPr>
      <w:r w:rsidRPr="00A6121E">
        <w:rPr>
          <w:rFonts w:ascii="Arial" w:hAnsi="Arial" w:cs="Arial"/>
          <w:b/>
          <w:bCs/>
          <w:spacing w:val="24"/>
        </w:rPr>
        <w:t xml:space="preserve">1.2          Venta de finca no inscrita </w:t>
      </w:r>
    </w:p>
    <w:p w:rsidR="00E44A8A" w:rsidRPr="00A6121E" w:rsidRDefault="00E44A8A" w:rsidP="00E44A8A">
      <w:pPr>
        <w:shd w:val="clear" w:color="auto" w:fill="FFFFFF"/>
        <w:spacing w:before="100" w:beforeAutospacing="1" w:after="240" w:line="360" w:lineRule="atLeast"/>
        <w:jc w:val="both"/>
        <w:rPr>
          <w:rFonts w:ascii="Arial" w:hAnsi="Arial" w:cs="Arial"/>
          <w:b/>
        </w:rPr>
      </w:pPr>
      <w:r w:rsidRPr="00A6121E">
        <w:rPr>
          <w:rFonts w:ascii="Arial" w:hAnsi="Arial" w:cs="Arial"/>
          <w:b/>
        </w:rPr>
        <w:lastRenderedPageBreak/>
        <w:t xml:space="preserve">Por lo que respecta a las fincas no inscritas, el artículo 14.2 LAU establece una remisión expresa al artículo 1.571 CC, si bien concediendo al arrendatario dos derechos no reconocidos en dicho artículo: </w:t>
      </w:r>
    </w:p>
    <w:p w:rsidR="00E44A8A" w:rsidRPr="00A6121E" w:rsidRDefault="00E44A8A" w:rsidP="00E44A8A">
      <w:pPr>
        <w:numPr>
          <w:ilvl w:val="0"/>
          <w:numId w:val="11"/>
        </w:numPr>
        <w:shd w:val="clear" w:color="auto" w:fill="FFFFFF"/>
        <w:spacing w:before="100" w:beforeAutospacing="1" w:after="168" w:line="360" w:lineRule="atLeast"/>
        <w:ind w:left="480"/>
        <w:jc w:val="both"/>
        <w:rPr>
          <w:rFonts w:ascii="Arial" w:hAnsi="Arial" w:cs="Arial"/>
          <w:b/>
        </w:rPr>
      </w:pPr>
      <w:r w:rsidRPr="00A6121E">
        <w:rPr>
          <w:rFonts w:ascii="Arial" w:hAnsi="Arial" w:cs="Arial"/>
          <w:b/>
          <w:bCs/>
        </w:rPr>
        <w:t>Frente al nuevo adquirente</w:t>
      </w:r>
      <w:r w:rsidRPr="00A6121E">
        <w:rPr>
          <w:rFonts w:ascii="Arial" w:hAnsi="Arial" w:cs="Arial"/>
          <w:b/>
        </w:rPr>
        <w:t xml:space="preserve">, el arrendatario de finca no inscrita podrá exigir del nuevo adquirente un </w:t>
      </w:r>
      <w:r w:rsidRPr="00A6121E">
        <w:rPr>
          <w:rFonts w:ascii="Arial" w:hAnsi="Arial" w:cs="Arial"/>
          <w:b/>
          <w:bCs/>
        </w:rPr>
        <w:t>plazo de 3 meses</w:t>
      </w:r>
      <w:r w:rsidRPr="00A6121E">
        <w:rPr>
          <w:rFonts w:ascii="Arial" w:hAnsi="Arial" w:cs="Arial"/>
          <w:b/>
        </w:rPr>
        <w:t xml:space="preserve"> desde que reciba la comunicación fehaciente del nuevo propietario de resolver el contrato, con la obligación de satisfacer la renta y demás cantidades que se devenguen. </w:t>
      </w:r>
    </w:p>
    <w:p w:rsidR="00E44A8A" w:rsidRPr="00A6121E" w:rsidRDefault="00E44A8A" w:rsidP="00E44A8A">
      <w:pPr>
        <w:numPr>
          <w:ilvl w:val="0"/>
          <w:numId w:val="11"/>
        </w:numPr>
        <w:shd w:val="clear" w:color="auto" w:fill="FFFFFF"/>
        <w:spacing w:before="100" w:beforeAutospacing="1" w:after="168" w:line="360" w:lineRule="atLeast"/>
        <w:ind w:left="480"/>
        <w:jc w:val="both"/>
        <w:rPr>
          <w:rFonts w:ascii="Arial" w:hAnsi="Arial" w:cs="Arial"/>
          <w:b/>
        </w:rPr>
      </w:pPr>
      <w:r w:rsidRPr="00A6121E">
        <w:rPr>
          <w:rFonts w:ascii="Arial" w:hAnsi="Arial" w:cs="Arial"/>
          <w:b/>
          <w:bCs/>
        </w:rPr>
        <w:t>Frente al anterior propietario</w:t>
      </w:r>
      <w:r w:rsidRPr="00A6121E">
        <w:rPr>
          <w:rFonts w:ascii="Arial" w:hAnsi="Arial" w:cs="Arial"/>
          <w:b/>
        </w:rPr>
        <w:t xml:space="preserve">, podrá exigir una reclamación de daños y perjuicios por el </w:t>
      </w:r>
      <w:r w:rsidRPr="00A6121E">
        <w:rPr>
          <w:rFonts w:ascii="Arial" w:hAnsi="Arial" w:cs="Arial"/>
          <w:b/>
          <w:bCs/>
        </w:rPr>
        <w:t>daño ocasionado como consecuencia de la terminación anticipada del contrato</w:t>
      </w:r>
      <w:r w:rsidRPr="00A6121E">
        <w:rPr>
          <w:rFonts w:ascii="Arial" w:hAnsi="Arial" w:cs="Arial"/>
          <w:b/>
        </w:rPr>
        <w:t xml:space="preserve">, sin que la ley establezca criterio alguno de cuantificación de dichos daños y perjuicios. </w:t>
      </w:r>
    </w:p>
    <w:p w:rsidR="00E44A8A" w:rsidRPr="00A6121E" w:rsidRDefault="00E44A8A" w:rsidP="00E44A8A">
      <w:pPr>
        <w:jc w:val="both"/>
        <w:rPr>
          <w:rFonts w:ascii="Arial" w:hAnsi="Arial" w:cs="Arial"/>
          <w:b/>
        </w:rPr>
      </w:pPr>
      <w:hyperlink r:id="rId8" w:history="1">
        <w:r w:rsidRPr="00A6121E">
          <w:rPr>
            <w:rFonts w:ascii="Arial" w:hAnsi="Arial" w:cs="Arial"/>
            <w:b/>
          </w:rPr>
          <w:t xml:space="preserve">Pelayo de Salvador </w:t>
        </w:r>
        <w:proofErr w:type="spellStart"/>
        <w:r w:rsidRPr="00A6121E">
          <w:rPr>
            <w:rFonts w:ascii="Arial" w:hAnsi="Arial" w:cs="Arial"/>
            <w:b/>
          </w:rPr>
          <w:t>Morell</w:t>
        </w:r>
        <w:proofErr w:type="spellEnd"/>
      </w:hyperlink>
      <w:r w:rsidRPr="00A6121E">
        <w:rPr>
          <w:rFonts w:ascii="Arial" w:hAnsi="Arial" w:cs="Arial"/>
          <w:b/>
        </w:rPr>
        <w:t>,</w:t>
      </w:r>
      <w:r w:rsidRPr="00A6121E">
        <w:rPr>
          <w:rFonts w:ascii="Arial" w:hAnsi="Arial" w:cs="Arial"/>
          <w:b/>
        </w:rPr>
        <w:br/>
      </w:r>
    </w:p>
    <w:p w:rsidR="00A80A36" w:rsidRPr="00E4418C" w:rsidRDefault="00A80A36" w:rsidP="00E4418C">
      <w:pPr>
        <w:spacing w:before="100" w:beforeAutospacing="1" w:after="100" w:afterAutospacing="1"/>
        <w:ind w:firstLine="708"/>
        <w:jc w:val="both"/>
        <w:rPr>
          <w:rFonts w:ascii="Arial" w:hAnsi="Arial" w:cs="Arial"/>
          <w:b/>
          <w:iCs/>
        </w:rPr>
      </w:pPr>
    </w:p>
    <w:p w:rsidR="00E4418C" w:rsidRPr="00E4418C" w:rsidRDefault="00A80A36" w:rsidP="00E44A8A">
      <w:pPr>
        <w:jc w:val="both"/>
        <w:rPr>
          <w:rFonts w:ascii="Arial" w:hAnsi="Arial" w:cs="Arial"/>
          <w:b/>
        </w:rPr>
      </w:pPr>
      <w:r w:rsidRPr="00E4418C">
        <w:rPr>
          <w:rFonts w:ascii="Arial" w:hAnsi="Arial" w:cs="Arial"/>
          <w:b/>
        </w:rPr>
        <w:t xml:space="preserve"> </w:t>
      </w:r>
      <w:r w:rsidR="00E44A8A">
        <w:rPr>
          <w:rFonts w:ascii="Arial" w:hAnsi="Arial" w:cs="Arial"/>
          <w:b/>
        </w:rPr>
        <w:t xml:space="preserve"> </w:t>
      </w:r>
    </w:p>
    <w:p w:rsidR="00A80A36" w:rsidRPr="00E4418C" w:rsidRDefault="00A80A36" w:rsidP="00E4418C">
      <w:pPr>
        <w:spacing w:before="100" w:beforeAutospacing="1" w:after="100" w:afterAutospacing="1"/>
        <w:jc w:val="both"/>
        <w:rPr>
          <w:rFonts w:ascii="Arial" w:hAnsi="Arial" w:cs="Arial"/>
          <w:b/>
        </w:rPr>
      </w:pPr>
    </w:p>
    <w:p w:rsidR="00A80A36" w:rsidRDefault="00A80A36" w:rsidP="00E4418C">
      <w:pPr>
        <w:jc w:val="both"/>
        <w:rPr>
          <w:rFonts w:ascii="Arial" w:hAnsi="Arial" w:cs="Arial"/>
          <w:b/>
        </w:rPr>
      </w:pPr>
    </w:p>
    <w:p w:rsidR="00E4418C" w:rsidRDefault="00E4418C" w:rsidP="00E4418C">
      <w:pPr>
        <w:jc w:val="both"/>
        <w:rPr>
          <w:rFonts w:ascii="Arial" w:hAnsi="Arial" w:cs="Arial"/>
          <w:b/>
        </w:rPr>
      </w:pPr>
    </w:p>
    <w:p w:rsidR="00E4418C" w:rsidRDefault="00E4418C" w:rsidP="00E4418C">
      <w:pPr>
        <w:jc w:val="both"/>
        <w:rPr>
          <w:rFonts w:ascii="Arial" w:hAnsi="Arial" w:cs="Arial"/>
          <w:b/>
        </w:rPr>
      </w:pPr>
    </w:p>
    <w:p w:rsidR="00E4418C" w:rsidRDefault="00E4418C" w:rsidP="00E4418C">
      <w:pPr>
        <w:jc w:val="both"/>
        <w:rPr>
          <w:rFonts w:ascii="Arial" w:hAnsi="Arial" w:cs="Arial"/>
          <w:b/>
        </w:rPr>
      </w:pPr>
    </w:p>
    <w:p w:rsidR="00E4418C" w:rsidRDefault="00E4418C" w:rsidP="00E4418C">
      <w:pPr>
        <w:jc w:val="both"/>
        <w:rPr>
          <w:rFonts w:ascii="Arial" w:hAnsi="Arial" w:cs="Arial"/>
          <w:b/>
        </w:rPr>
      </w:pPr>
    </w:p>
    <w:p w:rsidR="00E4418C" w:rsidRDefault="00E4418C" w:rsidP="00E4418C">
      <w:pPr>
        <w:jc w:val="both"/>
        <w:rPr>
          <w:rFonts w:ascii="Arial" w:hAnsi="Arial" w:cs="Arial"/>
          <w:b/>
        </w:rPr>
      </w:pPr>
    </w:p>
    <w:p w:rsidR="00E4418C" w:rsidRDefault="00E4418C" w:rsidP="00E4418C">
      <w:pPr>
        <w:jc w:val="both"/>
        <w:rPr>
          <w:rFonts w:ascii="Arial" w:hAnsi="Arial" w:cs="Arial"/>
          <w:b/>
        </w:rPr>
      </w:pPr>
    </w:p>
    <w:p w:rsidR="00E4418C" w:rsidRDefault="00E4418C" w:rsidP="00E4418C">
      <w:pPr>
        <w:jc w:val="both"/>
        <w:rPr>
          <w:rFonts w:ascii="Arial" w:hAnsi="Arial" w:cs="Arial"/>
          <w:b/>
        </w:rPr>
      </w:pPr>
    </w:p>
    <w:p w:rsidR="00E4418C" w:rsidRDefault="00E4418C" w:rsidP="00E4418C">
      <w:pPr>
        <w:jc w:val="both"/>
        <w:rPr>
          <w:rFonts w:ascii="Arial" w:hAnsi="Arial" w:cs="Arial"/>
          <w:b/>
        </w:rPr>
      </w:pPr>
    </w:p>
    <w:p w:rsidR="00E4418C" w:rsidRDefault="00E4418C" w:rsidP="00E4418C">
      <w:pPr>
        <w:jc w:val="both"/>
        <w:rPr>
          <w:rFonts w:ascii="Arial" w:hAnsi="Arial" w:cs="Arial"/>
          <w:b/>
        </w:rPr>
      </w:pPr>
    </w:p>
    <w:p w:rsidR="00E4418C" w:rsidRDefault="00E4418C" w:rsidP="00E4418C">
      <w:pPr>
        <w:jc w:val="both"/>
        <w:rPr>
          <w:rFonts w:ascii="Arial" w:hAnsi="Arial" w:cs="Arial"/>
          <w:b/>
        </w:rPr>
      </w:pPr>
    </w:p>
    <w:p w:rsidR="00E4418C" w:rsidRDefault="00E4418C" w:rsidP="00E4418C">
      <w:pPr>
        <w:jc w:val="both"/>
        <w:rPr>
          <w:rFonts w:ascii="Arial" w:hAnsi="Arial" w:cs="Arial"/>
          <w:b/>
        </w:rPr>
      </w:pPr>
    </w:p>
    <w:p w:rsidR="00E4418C" w:rsidRDefault="00E4418C" w:rsidP="00E4418C">
      <w:pPr>
        <w:jc w:val="both"/>
        <w:rPr>
          <w:rFonts w:ascii="Arial" w:hAnsi="Arial" w:cs="Arial"/>
          <w:b/>
        </w:rPr>
      </w:pPr>
    </w:p>
    <w:p w:rsidR="00E4418C" w:rsidRDefault="00E4418C" w:rsidP="00E4418C">
      <w:pPr>
        <w:jc w:val="both"/>
        <w:rPr>
          <w:rFonts w:ascii="Arial" w:hAnsi="Arial" w:cs="Arial"/>
          <w:b/>
        </w:rPr>
      </w:pPr>
    </w:p>
    <w:p w:rsidR="00E4418C" w:rsidRDefault="00E4418C" w:rsidP="00E4418C">
      <w:pPr>
        <w:jc w:val="both"/>
        <w:rPr>
          <w:rFonts w:ascii="Arial" w:hAnsi="Arial" w:cs="Arial"/>
          <w:b/>
        </w:rPr>
      </w:pPr>
    </w:p>
    <w:p w:rsidR="00FA64ED" w:rsidRPr="00E4418C" w:rsidRDefault="00FA64ED" w:rsidP="00E4418C">
      <w:pPr>
        <w:spacing w:line="240" w:lineRule="atLeast"/>
        <w:jc w:val="both"/>
        <w:rPr>
          <w:rFonts w:ascii="Arial" w:hAnsi="Arial" w:cs="Arial"/>
          <w:b/>
        </w:rPr>
      </w:pPr>
    </w:p>
    <w:p w:rsidR="00A80A36" w:rsidRPr="00E4418C" w:rsidRDefault="00A80A36" w:rsidP="00E4418C">
      <w:pPr>
        <w:spacing w:line="240" w:lineRule="atLeast"/>
        <w:jc w:val="both"/>
        <w:rPr>
          <w:rFonts w:ascii="Arial" w:hAnsi="Arial" w:cs="Arial"/>
          <w:b/>
        </w:rPr>
      </w:pPr>
    </w:p>
    <w:p w:rsidR="008C759A" w:rsidRPr="00E4418C" w:rsidRDefault="009B4B36" w:rsidP="00E4418C">
      <w:pPr>
        <w:spacing w:line="240" w:lineRule="atLeast"/>
        <w:jc w:val="both"/>
        <w:rPr>
          <w:rFonts w:ascii="Arial" w:hAnsi="Arial" w:cs="Arial"/>
          <w:b/>
        </w:rPr>
      </w:pPr>
      <w:r w:rsidRPr="00E4418C">
        <w:rPr>
          <w:rFonts w:ascii="Arial" w:hAnsi="Arial" w:cs="Arial"/>
          <w:b/>
          <w:noProof/>
        </w:rPr>
        <w:t xml:space="preserve"> </w:t>
      </w:r>
    </w:p>
    <w:p w:rsidR="008C759A" w:rsidRPr="00E4418C" w:rsidRDefault="008C759A" w:rsidP="00E4418C">
      <w:pPr>
        <w:spacing w:line="240" w:lineRule="atLeast"/>
        <w:jc w:val="both"/>
        <w:rPr>
          <w:rFonts w:ascii="Arial" w:hAnsi="Arial" w:cs="Arial"/>
          <w:b/>
        </w:rPr>
      </w:pPr>
    </w:p>
    <w:p w:rsidR="008C759A" w:rsidRPr="00A80A36" w:rsidRDefault="009B4B36" w:rsidP="00BE0E62">
      <w:pPr>
        <w:spacing w:line="240" w:lineRule="atLeast"/>
        <w:jc w:val="both"/>
        <w:rPr>
          <w:rFonts w:ascii="Arial" w:hAnsi="Arial" w:cs="Arial"/>
        </w:rPr>
      </w:pPr>
      <w:r w:rsidRPr="00A80A36">
        <w:rPr>
          <w:rFonts w:ascii="Arial" w:hAnsi="Arial" w:cs="Arial"/>
          <w:noProof/>
        </w:rPr>
        <w:drawing>
          <wp:inline distT="0" distB="0" distL="0" distR="0">
            <wp:extent cx="5402036" cy="4075611"/>
            <wp:effectExtent l="19050" t="0" r="8164" b="0"/>
            <wp:docPr id="3" name="Imagen 1" descr="F:\fotos despacho jose\fotos abogado en Oviedo\abogado en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despacho jose\fotos abogado en Oviedo\abogado en Oviedo 1.jpg"/>
                    <pic:cNvPicPr>
                      <a:picLocks noChangeAspect="1" noChangeArrowheads="1"/>
                    </pic:cNvPicPr>
                  </pic:nvPicPr>
                  <pic:blipFill>
                    <a:blip r:embed="rId9" cstate="print"/>
                    <a:srcRect/>
                    <a:stretch>
                      <a:fillRect/>
                    </a:stretch>
                  </pic:blipFill>
                  <pic:spPr bwMode="auto">
                    <a:xfrm>
                      <a:off x="0" y="0"/>
                      <a:ext cx="5400040" cy="4074105"/>
                    </a:xfrm>
                    <a:prstGeom prst="rect">
                      <a:avLst/>
                    </a:prstGeom>
                    <a:noFill/>
                    <a:ln w="9525">
                      <a:noFill/>
                      <a:miter lim="800000"/>
                      <a:headEnd/>
                      <a:tailEnd/>
                    </a:ln>
                  </pic:spPr>
                </pic:pic>
              </a:graphicData>
            </a:graphic>
          </wp:inline>
        </w:drawing>
      </w:r>
    </w:p>
    <w:p w:rsidR="008C759A" w:rsidRPr="00A80A36" w:rsidRDefault="008C759A" w:rsidP="00BE0E62">
      <w:pPr>
        <w:spacing w:line="240" w:lineRule="atLeast"/>
        <w:jc w:val="both"/>
        <w:rPr>
          <w:rFonts w:ascii="Arial" w:hAnsi="Arial" w:cs="Arial"/>
        </w:rPr>
      </w:pPr>
    </w:p>
    <w:p w:rsidR="008C759A" w:rsidRPr="00A80A36" w:rsidRDefault="008C759A" w:rsidP="00BE0E62">
      <w:pPr>
        <w:spacing w:line="240" w:lineRule="atLeast"/>
        <w:jc w:val="both"/>
        <w:rPr>
          <w:rFonts w:ascii="Arial" w:hAnsi="Arial" w:cs="Arial"/>
        </w:rPr>
      </w:pPr>
    </w:p>
    <w:p w:rsidR="008C759A" w:rsidRPr="00A80A36" w:rsidRDefault="008C759A" w:rsidP="00BE0E62">
      <w:pPr>
        <w:spacing w:line="240" w:lineRule="atLeast"/>
        <w:jc w:val="both"/>
        <w:rPr>
          <w:rFonts w:ascii="Arial" w:hAnsi="Arial" w:cs="Arial"/>
        </w:rPr>
      </w:pPr>
    </w:p>
    <w:p w:rsidR="008C759A" w:rsidRPr="00A80A36" w:rsidRDefault="008C759A" w:rsidP="00BE0E62">
      <w:pPr>
        <w:spacing w:line="240" w:lineRule="atLeast"/>
        <w:jc w:val="both"/>
        <w:rPr>
          <w:rFonts w:ascii="Arial" w:hAnsi="Arial" w:cs="Arial"/>
        </w:rPr>
      </w:pPr>
    </w:p>
    <w:p w:rsidR="008C759A" w:rsidRPr="00A80A36" w:rsidRDefault="008C759A" w:rsidP="00BE0E62">
      <w:pPr>
        <w:spacing w:line="240" w:lineRule="atLeast"/>
        <w:jc w:val="both"/>
        <w:rPr>
          <w:rFonts w:ascii="Arial" w:hAnsi="Arial" w:cs="Arial"/>
        </w:rPr>
      </w:pPr>
    </w:p>
    <w:p w:rsidR="008C759A" w:rsidRPr="00A80A36" w:rsidRDefault="008C759A" w:rsidP="00BE0E62">
      <w:pPr>
        <w:spacing w:line="240" w:lineRule="atLeast"/>
        <w:jc w:val="both"/>
        <w:rPr>
          <w:rFonts w:ascii="Arial" w:hAnsi="Arial" w:cs="Arial"/>
        </w:rPr>
      </w:pPr>
    </w:p>
    <w:p w:rsidR="008C759A" w:rsidRPr="00A80A36" w:rsidRDefault="008C759A" w:rsidP="00BE0E62">
      <w:pPr>
        <w:spacing w:line="240" w:lineRule="atLeast"/>
        <w:jc w:val="both"/>
        <w:rPr>
          <w:rFonts w:ascii="Arial" w:hAnsi="Arial" w:cs="Arial"/>
        </w:rPr>
      </w:pPr>
    </w:p>
    <w:p w:rsidR="008C759A" w:rsidRPr="00A80A36" w:rsidRDefault="008C759A" w:rsidP="00BE0E62">
      <w:pPr>
        <w:spacing w:line="240" w:lineRule="atLeast"/>
        <w:jc w:val="both"/>
        <w:rPr>
          <w:rFonts w:ascii="Arial" w:hAnsi="Arial" w:cs="Arial"/>
        </w:rPr>
      </w:pPr>
    </w:p>
    <w:p w:rsidR="008C759A" w:rsidRPr="00A80A36" w:rsidRDefault="008C759A" w:rsidP="00BE0E62">
      <w:pPr>
        <w:spacing w:line="240" w:lineRule="atLeast"/>
        <w:jc w:val="both"/>
        <w:rPr>
          <w:rFonts w:ascii="Arial" w:hAnsi="Arial" w:cs="Arial"/>
        </w:rPr>
      </w:pPr>
    </w:p>
    <w:p w:rsidR="00112F07" w:rsidRPr="00A80A36" w:rsidRDefault="00112F07" w:rsidP="00BE0E62">
      <w:pPr>
        <w:spacing w:line="240" w:lineRule="atLeast"/>
        <w:jc w:val="both"/>
        <w:rPr>
          <w:rFonts w:ascii="Arial" w:hAnsi="Arial" w:cs="Arial"/>
        </w:rPr>
      </w:pPr>
    </w:p>
    <w:p w:rsidR="00112F07" w:rsidRPr="00A80A36" w:rsidRDefault="00112F07" w:rsidP="00BE0E62">
      <w:pPr>
        <w:spacing w:line="240" w:lineRule="atLeast"/>
        <w:jc w:val="both"/>
        <w:rPr>
          <w:rFonts w:ascii="Arial" w:hAnsi="Arial" w:cs="Arial"/>
        </w:rPr>
      </w:pPr>
    </w:p>
    <w:p w:rsidR="00112F07" w:rsidRPr="00A80A36" w:rsidRDefault="00112F07" w:rsidP="00BE0E62">
      <w:pPr>
        <w:spacing w:line="240" w:lineRule="atLeast"/>
        <w:jc w:val="both"/>
        <w:rPr>
          <w:rFonts w:ascii="Arial" w:hAnsi="Arial" w:cs="Arial"/>
        </w:rPr>
      </w:pPr>
    </w:p>
    <w:p w:rsidR="00112F07" w:rsidRPr="00A80A36" w:rsidRDefault="00112F07" w:rsidP="00BE0E62">
      <w:pPr>
        <w:spacing w:line="240" w:lineRule="atLeast"/>
        <w:jc w:val="both"/>
        <w:rPr>
          <w:rFonts w:ascii="Arial" w:hAnsi="Arial" w:cs="Arial"/>
        </w:rPr>
      </w:pPr>
    </w:p>
    <w:p w:rsidR="00112F07" w:rsidRPr="00A80A36" w:rsidRDefault="00112F07" w:rsidP="00BE0E62">
      <w:pPr>
        <w:spacing w:line="240" w:lineRule="atLeast"/>
        <w:jc w:val="both"/>
        <w:rPr>
          <w:rFonts w:ascii="Arial" w:hAnsi="Arial" w:cs="Arial"/>
        </w:rPr>
      </w:pPr>
    </w:p>
    <w:p w:rsidR="00112F07" w:rsidRPr="00A80A36" w:rsidRDefault="00112F07" w:rsidP="00BE0E62">
      <w:pPr>
        <w:spacing w:line="240" w:lineRule="atLeast"/>
        <w:jc w:val="both"/>
        <w:rPr>
          <w:rFonts w:ascii="Arial" w:hAnsi="Arial" w:cs="Arial"/>
        </w:rPr>
      </w:pPr>
    </w:p>
    <w:p w:rsidR="00112F07" w:rsidRPr="00A80A36" w:rsidRDefault="009B4B36" w:rsidP="00BE0E62">
      <w:pPr>
        <w:spacing w:line="240" w:lineRule="atLeast"/>
        <w:jc w:val="both"/>
        <w:rPr>
          <w:rFonts w:ascii="Arial" w:hAnsi="Arial" w:cs="Arial"/>
        </w:rPr>
      </w:pPr>
      <w:r w:rsidRPr="00A80A36">
        <w:rPr>
          <w:rFonts w:ascii="Arial" w:hAnsi="Arial" w:cs="Arial"/>
          <w:noProof/>
        </w:rPr>
        <w:drawing>
          <wp:inline distT="0" distB="0" distL="0" distR="0">
            <wp:extent cx="5402036" cy="3849552"/>
            <wp:effectExtent l="19050" t="0" r="8164" b="0"/>
            <wp:docPr id="9" name="Imagen 2" descr="F:\fotos despacho jose\fotos abogado en Oviedo\abogado en Ovie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despacho jose\fotos abogado en Oviedo\abogado en Oviedo 2.jpg"/>
                    <pic:cNvPicPr>
                      <a:picLocks noChangeAspect="1" noChangeArrowheads="1"/>
                    </pic:cNvPicPr>
                  </pic:nvPicPr>
                  <pic:blipFill>
                    <a:blip r:embed="rId10" cstate="print"/>
                    <a:srcRect/>
                    <a:stretch>
                      <a:fillRect/>
                    </a:stretch>
                  </pic:blipFill>
                  <pic:spPr bwMode="auto">
                    <a:xfrm>
                      <a:off x="0" y="0"/>
                      <a:ext cx="5400040" cy="3848130"/>
                    </a:xfrm>
                    <a:prstGeom prst="rect">
                      <a:avLst/>
                    </a:prstGeom>
                    <a:noFill/>
                    <a:ln w="9525">
                      <a:noFill/>
                      <a:miter lim="800000"/>
                      <a:headEnd/>
                      <a:tailEnd/>
                    </a:ln>
                  </pic:spPr>
                </pic:pic>
              </a:graphicData>
            </a:graphic>
          </wp:inline>
        </w:drawing>
      </w:r>
    </w:p>
    <w:p w:rsidR="00112F07" w:rsidRPr="00A80A36" w:rsidRDefault="00112F07" w:rsidP="00BE0E62">
      <w:pPr>
        <w:spacing w:line="240" w:lineRule="atLeast"/>
        <w:jc w:val="both"/>
        <w:rPr>
          <w:rFonts w:ascii="Arial" w:hAnsi="Arial" w:cs="Arial"/>
        </w:rPr>
      </w:pPr>
    </w:p>
    <w:p w:rsidR="00112F07" w:rsidRPr="00A80A36" w:rsidRDefault="00112F07" w:rsidP="00BE0E62">
      <w:pPr>
        <w:spacing w:line="240" w:lineRule="atLeast"/>
        <w:jc w:val="both"/>
        <w:rPr>
          <w:rFonts w:ascii="Arial" w:hAnsi="Arial" w:cs="Arial"/>
        </w:rPr>
      </w:pPr>
    </w:p>
    <w:p w:rsidR="00112F07" w:rsidRPr="00A80A36" w:rsidRDefault="00112F07" w:rsidP="00BE0E62">
      <w:pPr>
        <w:spacing w:line="240" w:lineRule="atLeast"/>
        <w:jc w:val="both"/>
        <w:rPr>
          <w:rFonts w:ascii="Arial" w:hAnsi="Arial" w:cs="Arial"/>
        </w:rPr>
      </w:pPr>
    </w:p>
    <w:p w:rsidR="00112F07" w:rsidRPr="00A80A36" w:rsidRDefault="00112F07" w:rsidP="00BE0E62">
      <w:pPr>
        <w:spacing w:line="240" w:lineRule="atLeast"/>
        <w:jc w:val="both"/>
        <w:rPr>
          <w:rFonts w:ascii="Arial" w:hAnsi="Arial" w:cs="Arial"/>
        </w:rPr>
      </w:pPr>
    </w:p>
    <w:p w:rsidR="000612ED" w:rsidRPr="00A80A36" w:rsidRDefault="000612ED" w:rsidP="00BE0E62">
      <w:pPr>
        <w:spacing w:line="240" w:lineRule="atLeast"/>
        <w:jc w:val="both"/>
        <w:rPr>
          <w:rFonts w:ascii="Arial" w:hAnsi="Arial" w:cs="Arial"/>
          <w:noProof/>
        </w:rPr>
      </w:pPr>
    </w:p>
    <w:p w:rsidR="00112F07" w:rsidRPr="00A80A36" w:rsidRDefault="00112F07" w:rsidP="00BE0E62">
      <w:pPr>
        <w:spacing w:line="240" w:lineRule="atLeast"/>
        <w:jc w:val="both"/>
        <w:rPr>
          <w:rFonts w:ascii="Arial" w:hAnsi="Arial" w:cs="Arial"/>
        </w:rPr>
      </w:pPr>
    </w:p>
    <w:p w:rsidR="000612ED" w:rsidRPr="00A80A36" w:rsidRDefault="000612ED" w:rsidP="00BE0E62">
      <w:pPr>
        <w:spacing w:line="240" w:lineRule="atLeast"/>
        <w:jc w:val="both"/>
        <w:rPr>
          <w:rFonts w:ascii="Arial" w:hAnsi="Arial" w:cs="Arial"/>
        </w:rPr>
      </w:pPr>
    </w:p>
    <w:p w:rsidR="000612ED" w:rsidRPr="00A80A36" w:rsidRDefault="000612ED" w:rsidP="00BE0E62">
      <w:pPr>
        <w:spacing w:line="240" w:lineRule="atLeast"/>
        <w:jc w:val="both"/>
        <w:rPr>
          <w:rFonts w:ascii="Arial" w:hAnsi="Arial" w:cs="Arial"/>
        </w:rPr>
      </w:pPr>
    </w:p>
    <w:p w:rsidR="007259EF" w:rsidRPr="00A80A36" w:rsidRDefault="007259EF" w:rsidP="00BE0E62">
      <w:pPr>
        <w:spacing w:line="240" w:lineRule="atLeast"/>
        <w:jc w:val="both"/>
        <w:rPr>
          <w:rFonts w:ascii="Arial" w:hAnsi="Arial" w:cs="Arial"/>
        </w:rPr>
      </w:pPr>
    </w:p>
    <w:p w:rsidR="007259EF" w:rsidRPr="00A80A36" w:rsidRDefault="007259EF" w:rsidP="00BE0E62">
      <w:pPr>
        <w:spacing w:line="240" w:lineRule="atLeast"/>
        <w:jc w:val="both"/>
        <w:rPr>
          <w:rFonts w:ascii="Arial" w:hAnsi="Arial" w:cs="Arial"/>
        </w:rPr>
      </w:pPr>
    </w:p>
    <w:p w:rsidR="007259EF" w:rsidRPr="00A80A36" w:rsidRDefault="007259EF" w:rsidP="00BE0E62">
      <w:pPr>
        <w:spacing w:line="240" w:lineRule="atLeast"/>
        <w:jc w:val="both"/>
        <w:rPr>
          <w:rFonts w:ascii="Arial" w:hAnsi="Arial" w:cs="Arial"/>
        </w:rPr>
      </w:pPr>
    </w:p>
    <w:p w:rsidR="00A32B9E" w:rsidRPr="00A80A36" w:rsidRDefault="00A32B9E" w:rsidP="00BE0E62">
      <w:pPr>
        <w:spacing w:line="240" w:lineRule="atLeast"/>
        <w:jc w:val="both"/>
        <w:rPr>
          <w:rFonts w:ascii="Arial" w:hAnsi="Arial" w:cs="Arial"/>
        </w:rPr>
      </w:pPr>
    </w:p>
    <w:p w:rsidR="00A32B9E" w:rsidRPr="00A80A36" w:rsidRDefault="00A32B9E" w:rsidP="00BE0E62">
      <w:pPr>
        <w:spacing w:line="240" w:lineRule="atLeast"/>
        <w:jc w:val="both"/>
        <w:rPr>
          <w:rFonts w:ascii="Arial" w:hAnsi="Arial" w:cs="Arial"/>
        </w:rPr>
      </w:pPr>
    </w:p>
    <w:p w:rsidR="000612ED" w:rsidRPr="00A80A36" w:rsidRDefault="000612ED" w:rsidP="00BE0E62">
      <w:pPr>
        <w:spacing w:line="240" w:lineRule="atLeast"/>
        <w:jc w:val="both"/>
        <w:rPr>
          <w:rFonts w:ascii="Arial" w:hAnsi="Arial" w:cs="Arial"/>
        </w:rPr>
      </w:pPr>
    </w:p>
    <w:p w:rsidR="000612ED" w:rsidRPr="00A80A36" w:rsidRDefault="000612ED" w:rsidP="00BE0E62">
      <w:pPr>
        <w:spacing w:line="240" w:lineRule="atLeast"/>
        <w:jc w:val="both"/>
        <w:rPr>
          <w:rFonts w:ascii="Arial" w:hAnsi="Arial" w:cs="Arial"/>
        </w:rPr>
      </w:pPr>
    </w:p>
    <w:p w:rsidR="000612ED" w:rsidRPr="00A80A36" w:rsidRDefault="000612ED" w:rsidP="00BE0E62">
      <w:pPr>
        <w:spacing w:line="240" w:lineRule="atLeast"/>
        <w:jc w:val="both"/>
        <w:rPr>
          <w:rFonts w:ascii="Arial" w:hAnsi="Arial" w:cs="Arial"/>
        </w:rPr>
      </w:pPr>
    </w:p>
    <w:p w:rsidR="000612ED" w:rsidRPr="00A80A36" w:rsidRDefault="009B4B36" w:rsidP="00BE0E62">
      <w:pPr>
        <w:spacing w:line="240" w:lineRule="atLeast"/>
        <w:jc w:val="both"/>
        <w:rPr>
          <w:rFonts w:ascii="Arial" w:hAnsi="Arial" w:cs="Arial"/>
        </w:rPr>
      </w:pPr>
      <w:r w:rsidRPr="00A80A36">
        <w:rPr>
          <w:rFonts w:ascii="Arial" w:hAnsi="Arial" w:cs="Arial"/>
          <w:noProof/>
        </w:rPr>
        <w:drawing>
          <wp:inline distT="0" distB="0" distL="0" distR="0">
            <wp:extent cx="5402036" cy="3954056"/>
            <wp:effectExtent l="19050" t="0" r="8164" b="0"/>
            <wp:docPr id="10" name="Imagen 3" descr="F:\fotos despacho jose\fotos abogado en Oviedo\abogado en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despacho jose\fotos abogado en Oviedo\abogado en Oviedo 3.jpg"/>
                    <pic:cNvPicPr>
                      <a:picLocks noChangeAspect="1" noChangeArrowheads="1"/>
                    </pic:cNvPicPr>
                  </pic:nvPicPr>
                  <pic:blipFill>
                    <a:blip r:embed="rId11" cstate="print"/>
                    <a:srcRect/>
                    <a:stretch>
                      <a:fillRect/>
                    </a:stretch>
                  </pic:blipFill>
                  <pic:spPr bwMode="auto">
                    <a:xfrm>
                      <a:off x="0" y="0"/>
                      <a:ext cx="5400040" cy="3952595"/>
                    </a:xfrm>
                    <a:prstGeom prst="rect">
                      <a:avLst/>
                    </a:prstGeom>
                    <a:noFill/>
                    <a:ln w="9525">
                      <a:noFill/>
                      <a:miter lim="800000"/>
                      <a:headEnd/>
                      <a:tailEnd/>
                    </a:ln>
                  </pic:spPr>
                </pic:pic>
              </a:graphicData>
            </a:graphic>
          </wp:inline>
        </w:drawing>
      </w:r>
    </w:p>
    <w:p w:rsidR="000612ED" w:rsidRPr="00A80A36" w:rsidRDefault="000612ED" w:rsidP="00BE0E62">
      <w:pPr>
        <w:spacing w:line="240" w:lineRule="atLeast"/>
        <w:jc w:val="both"/>
        <w:rPr>
          <w:rFonts w:ascii="Arial" w:hAnsi="Arial" w:cs="Arial"/>
        </w:rPr>
      </w:pPr>
    </w:p>
    <w:p w:rsidR="000612ED" w:rsidRPr="00A80A36" w:rsidRDefault="000612ED" w:rsidP="00BE0E62">
      <w:pPr>
        <w:spacing w:line="240" w:lineRule="atLeast"/>
        <w:jc w:val="both"/>
        <w:rPr>
          <w:rFonts w:ascii="Arial" w:hAnsi="Arial" w:cs="Arial"/>
        </w:rPr>
      </w:pPr>
    </w:p>
    <w:p w:rsidR="000612ED" w:rsidRPr="00A80A36" w:rsidRDefault="000612ED" w:rsidP="00BE0E62">
      <w:pPr>
        <w:spacing w:line="240" w:lineRule="atLeast"/>
        <w:jc w:val="both"/>
        <w:rPr>
          <w:rFonts w:ascii="Arial" w:hAnsi="Arial" w:cs="Arial"/>
        </w:rPr>
      </w:pPr>
    </w:p>
    <w:p w:rsidR="000612ED" w:rsidRPr="00A80A36" w:rsidRDefault="000612ED" w:rsidP="00BE0E62">
      <w:pPr>
        <w:spacing w:line="240" w:lineRule="atLeast"/>
        <w:jc w:val="both"/>
        <w:rPr>
          <w:rFonts w:ascii="Arial" w:hAnsi="Arial" w:cs="Arial"/>
        </w:rPr>
      </w:pPr>
    </w:p>
    <w:p w:rsidR="000612ED" w:rsidRPr="00A80A36" w:rsidRDefault="000612ED" w:rsidP="00BE0E62">
      <w:pPr>
        <w:spacing w:line="240" w:lineRule="atLeast"/>
        <w:jc w:val="both"/>
        <w:rPr>
          <w:rFonts w:ascii="Arial" w:hAnsi="Arial" w:cs="Arial"/>
        </w:rPr>
      </w:pPr>
    </w:p>
    <w:p w:rsidR="000612ED" w:rsidRPr="00A80A36" w:rsidRDefault="000612ED" w:rsidP="00BE0E62">
      <w:pPr>
        <w:spacing w:line="240" w:lineRule="atLeast"/>
        <w:jc w:val="both"/>
        <w:rPr>
          <w:rFonts w:ascii="Arial" w:hAnsi="Arial" w:cs="Arial"/>
        </w:rPr>
      </w:pPr>
    </w:p>
    <w:p w:rsidR="000612ED" w:rsidRPr="00A80A36" w:rsidRDefault="000612ED" w:rsidP="00BE0E62">
      <w:pPr>
        <w:spacing w:line="240" w:lineRule="atLeast"/>
        <w:jc w:val="both"/>
        <w:rPr>
          <w:rFonts w:ascii="Arial" w:hAnsi="Arial" w:cs="Arial"/>
        </w:rPr>
      </w:pPr>
    </w:p>
    <w:p w:rsidR="00F31B5A" w:rsidRPr="00A80A36" w:rsidRDefault="00F31B5A" w:rsidP="00BE0E62">
      <w:pPr>
        <w:spacing w:line="240" w:lineRule="atLeast"/>
        <w:jc w:val="both"/>
        <w:rPr>
          <w:rFonts w:ascii="Arial" w:hAnsi="Arial" w:cs="Arial"/>
        </w:rPr>
      </w:pPr>
    </w:p>
    <w:p w:rsidR="00F31B5A" w:rsidRPr="00A80A36" w:rsidRDefault="00F31B5A" w:rsidP="00BE0E62">
      <w:pPr>
        <w:spacing w:line="240" w:lineRule="atLeast"/>
        <w:jc w:val="both"/>
        <w:rPr>
          <w:rFonts w:ascii="Arial" w:hAnsi="Arial" w:cs="Arial"/>
        </w:rPr>
      </w:pPr>
    </w:p>
    <w:p w:rsidR="00F31B5A" w:rsidRPr="00A80A36" w:rsidRDefault="00F31B5A" w:rsidP="00BE0E62">
      <w:pPr>
        <w:spacing w:line="240" w:lineRule="atLeast"/>
        <w:jc w:val="both"/>
        <w:rPr>
          <w:rFonts w:ascii="Arial" w:hAnsi="Arial" w:cs="Arial"/>
        </w:rPr>
      </w:pPr>
    </w:p>
    <w:p w:rsidR="00E42F5D" w:rsidRPr="00A80A36" w:rsidRDefault="00E42F5D" w:rsidP="00BE0E62">
      <w:pPr>
        <w:spacing w:line="240" w:lineRule="atLeast"/>
        <w:jc w:val="both"/>
        <w:rPr>
          <w:rFonts w:ascii="Arial" w:hAnsi="Arial" w:cs="Arial"/>
        </w:rPr>
      </w:pPr>
    </w:p>
    <w:p w:rsidR="00DF0002" w:rsidRPr="00A80A36" w:rsidRDefault="00DF0002" w:rsidP="00BE0E62">
      <w:pPr>
        <w:spacing w:line="240" w:lineRule="atLeast"/>
        <w:jc w:val="both"/>
        <w:rPr>
          <w:rFonts w:ascii="Arial" w:hAnsi="Arial" w:cs="Arial"/>
        </w:rPr>
      </w:pPr>
    </w:p>
    <w:p w:rsidR="00DF0002" w:rsidRPr="00A80A36" w:rsidRDefault="00DF0002" w:rsidP="00BE0E62">
      <w:pPr>
        <w:spacing w:line="240" w:lineRule="atLeast"/>
        <w:jc w:val="both"/>
        <w:rPr>
          <w:rFonts w:ascii="Arial" w:hAnsi="Arial" w:cs="Arial"/>
        </w:rPr>
      </w:pPr>
    </w:p>
    <w:p w:rsidR="00DF0002" w:rsidRPr="00A80A36" w:rsidRDefault="00DF0002" w:rsidP="00BE0E62">
      <w:pPr>
        <w:spacing w:line="240" w:lineRule="atLeast"/>
        <w:jc w:val="both"/>
        <w:rPr>
          <w:rFonts w:ascii="Arial" w:hAnsi="Arial" w:cs="Arial"/>
        </w:rPr>
      </w:pPr>
    </w:p>
    <w:p w:rsidR="00E42F5D" w:rsidRPr="00A80A36" w:rsidRDefault="00E42F5D" w:rsidP="00BE0E62">
      <w:pPr>
        <w:spacing w:line="240" w:lineRule="atLeast"/>
        <w:jc w:val="both"/>
        <w:rPr>
          <w:rFonts w:ascii="Arial" w:hAnsi="Arial" w:cs="Arial"/>
        </w:rPr>
      </w:pPr>
    </w:p>
    <w:p w:rsidR="00E42F5D" w:rsidRPr="00A80A36" w:rsidRDefault="00E42F5D" w:rsidP="00BE0E62">
      <w:pPr>
        <w:spacing w:line="240" w:lineRule="atLeast"/>
        <w:jc w:val="both"/>
        <w:rPr>
          <w:rFonts w:ascii="Arial" w:hAnsi="Arial" w:cs="Arial"/>
        </w:rPr>
      </w:pPr>
    </w:p>
    <w:p w:rsidR="000612ED" w:rsidRPr="00A80A36" w:rsidRDefault="009B4B36" w:rsidP="00BE0E62">
      <w:pPr>
        <w:spacing w:line="240" w:lineRule="atLeast"/>
        <w:jc w:val="both"/>
        <w:rPr>
          <w:rFonts w:ascii="Arial" w:hAnsi="Arial" w:cs="Arial"/>
          <w:bCs/>
        </w:rPr>
      </w:pPr>
      <w:r w:rsidRPr="00A80A36">
        <w:rPr>
          <w:rFonts w:ascii="Arial" w:hAnsi="Arial" w:cs="Arial"/>
          <w:bCs/>
          <w:noProof/>
        </w:rPr>
        <w:drawing>
          <wp:inline distT="0" distB="0" distL="0" distR="0">
            <wp:extent cx="5402036" cy="3853543"/>
            <wp:effectExtent l="19050" t="0" r="8164" b="0"/>
            <wp:docPr id="11" name="Imagen 4" descr="F:\fotos despacho jose\fotos abogado en Oviedo\abogado en Ovied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despacho jose\fotos abogado en Oviedo\abogado en Oviedo 4.jpg"/>
                    <pic:cNvPicPr>
                      <a:picLocks noChangeAspect="1" noChangeArrowheads="1"/>
                    </pic:cNvPicPr>
                  </pic:nvPicPr>
                  <pic:blipFill>
                    <a:blip r:embed="rId12" cstate="print"/>
                    <a:srcRect/>
                    <a:stretch>
                      <a:fillRect/>
                    </a:stretch>
                  </pic:blipFill>
                  <pic:spPr bwMode="auto">
                    <a:xfrm>
                      <a:off x="0" y="0"/>
                      <a:ext cx="5400040" cy="3852119"/>
                    </a:xfrm>
                    <a:prstGeom prst="rect">
                      <a:avLst/>
                    </a:prstGeom>
                    <a:noFill/>
                    <a:ln w="9525">
                      <a:noFill/>
                      <a:miter lim="800000"/>
                      <a:headEnd/>
                      <a:tailEnd/>
                    </a:ln>
                  </pic:spPr>
                </pic:pic>
              </a:graphicData>
            </a:graphic>
          </wp:inline>
        </w:drawing>
      </w:r>
    </w:p>
    <w:p w:rsidR="009B4B36" w:rsidRPr="00A80A36" w:rsidRDefault="009B4B36" w:rsidP="00BE0E62">
      <w:pPr>
        <w:spacing w:line="240" w:lineRule="atLeast"/>
        <w:jc w:val="both"/>
        <w:rPr>
          <w:rFonts w:ascii="Arial" w:hAnsi="Arial" w:cs="Arial"/>
          <w:bCs/>
        </w:rPr>
      </w:pPr>
    </w:p>
    <w:p w:rsidR="009B4B36" w:rsidRPr="00A80A36" w:rsidRDefault="009B4B36" w:rsidP="00BE0E62">
      <w:pPr>
        <w:spacing w:line="240" w:lineRule="atLeast"/>
        <w:jc w:val="both"/>
        <w:rPr>
          <w:rFonts w:ascii="Arial" w:hAnsi="Arial" w:cs="Arial"/>
          <w:bCs/>
        </w:rPr>
      </w:pPr>
    </w:p>
    <w:p w:rsidR="009B4B36" w:rsidRPr="00A80A36" w:rsidRDefault="009B4B36" w:rsidP="00BE0E62">
      <w:pPr>
        <w:spacing w:line="240" w:lineRule="atLeast"/>
        <w:jc w:val="both"/>
        <w:rPr>
          <w:rFonts w:ascii="Arial" w:hAnsi="Arial" w:cs="Arial"/>
          <w:bCs/>
        </w:rPr>
      </w:pPr>
    </w:p>
    <w:p w:rsidR="009B4B36" w:rsidRPr="00A80A36" w:rsidRDefault="009B4B36" w:rsidP="00BE0E62">
      <w:pPr>
        <w:spacing w:line="240" w:lineRule="atLeast"/>
        <w:jc w:val="both"/>
        <w:rPr>
          <w:rFonts w:ascii="Arial" w:hAnsi="Arial" w:cs="Arial"/>
          <w:bCs/>
        </w:rPr>
      </w:pPr>
    </w:p>
    <w:p w:rsidR="009B4B36" w:rsidRPr="00A80A36" w:rsidRDefault="009B4B36" w:rsidP="00BE0E62">
      <w:pPr>
        <w:spacing w:line="240" w:lineRule="atLeast"/>
        <w:jc w:val="both"/>
        <w:rPr>
          <w:rFonts w:ascii="Arial" w:hAnsi="Arial" w:cs="Arial"/>
          <w:bCs/>
        </w:rPr>
      </w:pPr>
    </w:p>
    <w:p w:rsidR="009B4B36" w:rsidRPr="00A80A36" w:rsidRDefault="009B4B36" w:rsidP="00BE0E62">
      <w:pPr>
        <w:spacing w:line="240" w:lineRule="atLeast"/>
        <w:jc w:val="both"/>
        <w:rPr>
          <w:rFonts w:ascii="Arial" w:hAnsi="Arial" w:cs="Arial"/>
          <w:bCs/>
        </w:rPr>
      </w:pPr>
    </w:p>
    <w:p w:rsidR="009B4B36" w:rsidRPr="00A80A36" w:rsidRDefault="009B4B36" w:rsidP="00BE0E62">
      <w:pPr>
        <w:spacing w:line="240" w:lineRule="atLeast"/>
        <w:jc w:val="both"/>
        <w:rPr>
          <w:rFonts w:ascii="Arial" w:hAnsi="Arial" w:cs="Arial"/>
          <w:bCs/>
        </w:rPr>
      </w:pPr>
    </w:p>
    <w:p w:rsidR="009B4B36" w:rsidRPr="00A80A36" w:rsidRDefault="009B4B36" w:rsidP="00BE0E62">
      <w:pPr>
        <w:spacing w:line="240" w:lineRule="atLeast"/>
        <w:jc w:val="both"/>
        <w:rPr>
          <w:rFonts w:ascii="Arial" w:hAnsi="Arial" w:cs="Arial"/>
          <w:bCs/>
        </w:rPr>
      </w:pPr>
    </w:p>
    <w:p w:rsidR="009B4B36" w:rsidRPr="00A80A36" w:rsidRDefault="009B4B36" w:rsidP="00BE0E62">
      <w:pPr>
        <w:spacing w:line="240" w:lineRule="atLeast"/>
        <w:jc w:val="both"/>
        <w:rPr>
          <w:rFonts w:ascii="Arial" w:hAnsi="Arial" w:cs="Arial"/>
          <w:bCs/>
        </w:rPr>
      </w:pPr>
    </w:p>
    <w:p w:rsidR="009B4B36" w:rsidRPr="00A80A36" w:rsidRDefault="009B4B36" w:rsidP="00BE0E62">
      <w:pPr>
        <w:spacing w:line="240" w:lineRule="atLeast"/>
        <w:jc w:val="both"/>
        <w:rPr>
          <w:rFonts w:ascii="Arial" w:hAnsi="Arial" w:cs="Arial"/>
          <w:bCs/>
        </w:rPr>
      </w:pPr>
    </w:p>
    <w:p w:rsidR="00A32B9E" w:rsidRPr="00A80A36" w:rsidRDefault="00A32B9E" w:rsidP="00BE0E62">
      <w:pPr>
        <w:spacing w:line="240" w:lineRule="atLeast"/>
        <w:jc w:val="both"/>
        <w:rPr>
          <w:rFonts w:ascii="Arial" w:hAnsi="Arial" w:cs="Arial"/>
          <w:bCs/>
        </w:rPr>
      </w:pPr>
    </w:p>
    <w:p w:rsidR="00A32B9E" w:rsidRPr="00A80A36" w:rsidRDefault="00A32B9E" w:rsidP="00BE0E62">
      <w:pPr>
        <w:spacing w:line="240" w:lineRule="atLeast"/>
        <w:jc w:val="both"/>
        <w:rPr>
          <w:rFonts w:ascii="Arial" w:hAnsi="Arial" w:cs="Arial"/>
          <w:bCs/>
        </w:rPr>
      </w:pPr>
    </w:p>
    <w:p w:rsidR="009B4B36" w:rsidRPr="00A80A36" w:rsidRDefault="009B4B36" w:rsidP="00BE0E62">
      <w:pPr>
        <w:spacing w:line="240" w:lineRule="atLeast"/>
        <w:jc w:val="both"/>
        <w:rPr>
          <w:rFonts w:ascii="Arial" w:hAnsi="Arial" w:cs="Arial"/>
          <w:bCs/>
        </w:rPr>
      </w:pPr>
    </w:p>
    <w:p w:rsidR="009B4B36" w:rsidRPr="00A80A36" w:rsidRDefault="009B4B36" w:rsidP="00BE0E62">
      <w:pPr>
        <w:spacing w:line="240" w:lineRule="atLeast"/>
        <w:jc w:val="both"/>
        <w:rPr>
          <w:rFonts w:ascii="Arial" w:hAnsi="Arial" w:cs="Arial"/>
          <w:bCs/>
        </w:rPr>
      </w:pPr>
    </w:p>
    <w:p w:rsidR="009B4B36" w:rsidRPr="00A80A36" w:rsidRDefault="009B4B36" w:rsidP="00BE0E62">
      <w:pPr>
        <w:spacing w:line="240" w:lineRule="atLeast"/>
        <w:jc w:val="both"/>
        <w:rPr>
          <w:rFonts w:ascii="Arial" w:hAnsi="Arial" w:cs="Arial"/>
          <w:bCs/>
        </w:rPr>
      </w:pPr>
    </w:p>
    <w:p w:rsidR="009B4B36" w:rsidRPr="00A80A36" w:rsidRDefault="009B4B36" w:rsidP="00BE0E62">
      <w:pPr>
        <w:spacing w:line="240" w:lineRule="atLeast"/>
        <w:jc w:val="both"/>
        <w:rPr>
          <w:rFonts w:ascii="Arial" w:hAnsi="Arial" w:cs="Arial"/>
          <w:bCs/>
        </w:rPr>
      </w:pPr>
      <w:r w:rsidRPr="00A80A36">
        <w:rPr>
          <w:rFonts w:ascii="Arial" w:hAnsi="Arial" w:cs="Arial"/>
          <w:bCs/>
          <w:noProof/>
        </w:rPr>
        <w:drawing>
          <wp:inline distT="0" distB="0" distL="0" distR="0">
            <wp:extent cx="5402036" cy="4319816"/>
            <wp:effectExtent l="19050" t="0" r="8164" b="0"/>
            <wp:docPr id="12" name="Imagen 5" descr="F:\fotos despacho jose\fotos abogado en Oviedo\abogado en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despacho jose\fotos abogado en Oviedo\abogado en Oviedo 5.jpg"/>
                    <pic:cNvPicPr>
                      <a:picLocks noChangeAspect="1" noChangeArrowheads="1"/>
                    </pic:cNvPicPr>
                  </pic:nvPicPr>
                  <pic:blipFill>
                    <a:blip r:embed="rId13" cstate="print"/>
                    <a:srcRect/>
                    <a:stretch>
                      <a:fillRect/>
                    </a:stretch>
                  </pic:blipFill>
                  <pic:spPr bwMode="auto">
                    <a:xfrm>
                      <a:off x="0" y="0"/>
                      <a:ext cx="5400040" cy="4318220"/>
                    </a:xfrm>
                    <a:prstGeom prst="rect">
                      <a:avLst/>
                    </a:prstGeom>
                    <a:noFill/>
                    <a:ln w="9525">
                      <a:noFill/>
                      <a:miter lim="800000"/>
                      <a:headEnd/>
                      <a:tailEnd/>
                    </a:ln>
                  </pic:spPr>
                </pic:pic>
              </a:graphicData>
            </a:graphic>
          </wp:inline>
        </w:drawing>
      </w:r>
    </w:p>
    <w:p w:rsidR="009B4B36" w:rsidRPr="00A80A36" w:rsidRDefault="009B4B36" w:rsidP="00BE0E62">
      <w:pPr>
        <w:spacing w:line="240" w:lineRule="atLeast"/>
        <w:jc w:val="both"/>
        <w:rPr>
          <w:rFonts w:ascii="Arial" w:hAnsi="Arial" w:cs="Arial"/>
          <w:bCs/>
        </w:rPr>
      </w:pPr>
    </w:p>
    <w:p w:rsidR="009B4B36" w:rsidRPr="00A80A36" w:rsidRDefault="009B4B36" w:rsidP="00BE0E62">
      <w:pPr>
        <w:spacing w:line="240" w:lineRule="atLeast"/>
        <w:jc w:val="both"/>
        <w:rPr>
          <w:rFonts w:ascii="Arial" w:hAnsi="Arial" w:cs="Arial"/>
          <w:bCs/>
        </w:rPr>
      </w:pPr>
    </w:p>
    <w:p w:rsidR="009B4B36" w:rsidRPr="00A80A36" w:rsidRDefault="009B4B36" w:rsidP="00BE0E62">
      <w:pPr>
        <w:spacing w:line="240" w:lineRule="atLeast"/>
        <w:jc w:val="both"/>
        <w:rPr>
          <w:rFonts w:ascii="Arial" w:hAnsi="Arial" w:cs="Arial"/>
          <w:bCs/>
        </w:rPr>
      </w:pPr>
    </w:p>
    <w:p w:rsidR="009B4B36" w:rsidRPr="00A80A36" w:rsidRDefault="009B4B36" w:rsidP="00BE0E62">
      <w:pPr>
        <w:spacing w:line="240" w:lineRule="atLeast"/>
        <w:jc w:val="both"/>
        <w:rPr>
          <w:rFonts w:ascii="Arial" w:hAnsi="Arial" w:cs="Arial"/>
          <w:bCs/>
        </w:rPr>
      </w:pPr>
    </w:p>
    <w:p w:rsidR="009B4B36" w:rsidRPr="00A80A36" w:rsidRDefault="009B4B36" w:rsidP="00BE0E62">
      <w:pPr>
        <w:spacing w:line="240" w:lineRule="atLeast"/>
        <w:jc w:val="both"/>
        <w:rPr>
          <w:rFonts w:ascii="Arial" w:hAnsi="Arial" w:cs="Arial"/>
          <w:bCs/>
        </w:rPr>
      </w:pPr>
    </w:p>
    <w:p w:rsidR="009B4B36" w:rsidRPr="00A80A36" w:rsidRDefault="009B4B36" w:rsidP="00BE0E62">
      <w:pPr>
        <w:spacing w:line="240" w:lineRule="atLeast"/>
        <w:jc w:val="both"/>
        <w:rPr>
          <w:rFonts w:ascii="Arial" w:hAnsi="Arial" w:cs="Arial"/>
          <w:bCs/>
        </w:rPr>
      </w:pPr>
    </w:p>
    <w:p w:rsidR="00F31B5A" w:rsidRPr="00A80A36" w:rsidRDefault="00F31B5A" w:rsidP="00BE0E62">
      <w:pPr>
        <w:spacing w:line="240" w:lineRule="atLeast"/>
        <w:jc w:val="both"/>
        <w:rPr>
          <w:rFonts w:ascii="Arial" w:hAnsi="Arial" w:cs="Arial"/>
          <w:bCs/>
        </w:rPr>
      </w:pPr>
    </w:p>
    <w:p w:rsidR="00F31B5A" w:rsidRPr="00A80A36" w:rsidRDefault="00F31B5A" w:rsidP="00BE0E62">
      <w:pPr>
        <w:spacing w:line="240" w:lineRule="atLeast"/>
        <w:jc w:val="both"/>
        <w:rPr>
          <w:rFonts w:ascii="Arial" w:hAnsi="Arial" w:cs="Arial"/>
          <w:bCs/>
        </w:rPr>
      </w:pPr>
    </w:p>
    <w:p w:rsidR="00F31B5A" w:rsidRPr="00A80A36" w:rsidRDefault="00F31B5A" w:rsidP="00BE0E62">
      <w:pPr>
        <w:spacing w:line="240" w:lineRule="atLeast"/>
        <w:jc w:val="both"/>
        <w:rPr>
          <w:rFonts w:ascii="Arial" w:hAnsi="Arial" w:cs="Arial"/>
          <w:bCs/>
        </w:rPr>
      </w:pPr>
    </w:p>
    <w:p w:rsidR="00F31B5A" w:rsidRPr="00A80A36" w:rsidRDefault="00F31B5A" w:rsidP="00BE0E62">
      <w:pPr>
        <w:spacing w:line="240" w:lineRule="atLeast"/>
        <w:jc w:val="both"/>
        <w:rPr>
          <w:rFonts w:ascii="Arial" w:hAnsi="Arial" w:cs="Arial"/>
          <w:bCs/>
        </w:rPr>
      </w:pPr>
    </w:p>
    <w:p w:rsidR="00F31B5A" w:rsidRPr="00A80A36" w:rsidRDefault="00F31B5A" w:rsidP="00BE0E62">
      <w:pPr>
        <w:spacing w:line="240" w:lineRule="atLeast"/>
        <w:jc w:val="both"/>
        <w:rPr>
          <w:rFonts w:ascii="Arial" w:hAnsi="Arial" w:cs="Arial"/>
          <w:bCs/>
        </w:rPr>
      </w:pPr>
    </w:p>
    <w:p w:rsidR="00F31B5A" w:rsidRPr="00A80A36" w:rsidRDefault="00F31B5A" w:rsidP="00BE0E62">
      <w:pPr>
        <w:spacing w:line="240" w:lineRule="atLeast"/>
        <w:jc w:val="both"/>
        <w:rPr>
          <w:rFonts w:ascii="Arial" w:hAnsi="Arial" w:cs="Arial"/>
          <w:bCs/>
        </w:rPr>
      </w:pPr>
    </w:p>
    <w:p w:rsidR="00F31B5A" w:rsidRPr="00A80A36" w:rsidRDefault="00F31B5A" w:rsidP="00BE0E62">
      <w:pPr>
        <w:spacing w:line="240" w:lineRule="atLeast"/>
        <w:jc w:val="both"/>
        <w:rPr>
          <w:rFonts w:ascii="Arial" w:hAnsi="Arial" w:cs="Arial"/>
          <w:bCs/>
        </w:rPr>
      </w:pPr>
    </w:p>
    <w:p w:rsidR="00F31B5A" w:rsidRPr="00A80A36" w:rsidRDefault="00F31B5A" w:rsidP="00BE0E62">
      <w:pPr>
        <w:spacing w:line="240" w:lineRule="atLeast"/>
        <w:jc w:val="both"/>
        <w:rPr>
          <w:rFonts w:ascii="Arial" w:hAnsi="Arial" w:cs="Arial"/>
          <w:bCs/>
        </w:rPr>
      </w:pPr>
    </w:p>
    <w:p w:rsidR="00DF0002" w:rsidRPr="00A80A36" w:rsidRDefault="00DF0002" w:rsidP="00BE0E62">
      <w:pPr>
        <w:spacing w:line="240" w:lineRule="atLeast"/>
        <w:jc w:val="both"/>
        <w:rPr>
          <w:rFonts w:ascii="Arial" w:hAnsi="Arial" w:cs="Arial"/>
          <w:bCs/>
        </w:rPr>
      </w:pPr>
    </w:p>
    <w:p w:rsidR="00DF0002" w:rsidRDefault="00DF0002" w:rsidP="00BE0E62">
      <w:pPr>
        <w:spacing w:line="240" w:lineRule="atLeast"/>
        <w:jc w:val="both"/>
        <w:rPr>
          <w:rFonts w:ascii="Arial" w:hAnsi="Arial" w:cs="Arial"/>
          <w:bCs/>
        </w:rPr>
      </w:pPr>
    </w:p>
    <w:p w:rsidR="00A80A36" w:rsidRPr="00A80A36" w:rsidRDefault="00A80A36" w:rsidP="00BE0E62">
      <w:pPr>
        <w:spacing w:line="240" w:lineRule="atLeast"/>
        <w:jc w:val="both"/>
        <w:rPr>
          <w:rFonts w:ascii="Arial" w:hAnsi="Arial" w:cs="Arial"/>
          <w:bCs/>
        </w:rPr>
      </w:pPr>
    </w:p>
    <w:p w:rsidR="004C6E1D" w:rsidRPr="00A80A36" w:rsidRDefault="004C6E1D" w:rsidP="00BE0E62">
      <w:pPr>
        <w:spacing w:line="240" w:lineRule="atLeast"/>
        <w:jc w:val="both"/>
        <w:rPr>
          <w:rFonts w:ascii="Arial" w:hAnsi="Arial" w:cs="Arial"/>
          <w:bCs/>
        </w:rPr>
      </w:pPr>
    </w:p>
    <w:p w:rsidR="000612ED" w:rsidRPr="00A80A36" w:rsidRDefault="00CC06BD" w:rsidP="00BE0E62">
      <w:pPr>
        <w:spacing w:line="240" w:lineRule="atLeast"/>
        <w:jc w:val="both"/>
        <w:rPr>
          <w:rFonts w:ascii="Arial" w:hAnsi="Arial" w:cs="Arial"/>
          <w:bCs/>
        </w:rPr>
      </w:pPr>
      <w:r w:rsidRPr="00A80A36">
        <w:rPr>
          <w:rFonts w:ascii="Arial" w:hAnsi="Arial" w:cs="Arial"/>
          <w:bCs/>
        </w:rPr>
        <w:t>CON ESTE ARTÍCULO ALFREDOGARCIALOPEZ.ES/COM COMIENZA A EDITAR Y PUBLICAR UNA SERIE DE TEXTOS  DE GRAN CALADO JURÍDICO, DESTINADOS PARA LA LECTURA DE LA CLIENTELA DE NUESTRO DESPACHO Y DEL CASUAL USUARIO DE NUESTRA PÁGINA WEB.</w:t>
      </w:r>
    </w:p>
    <w:p w:rsidR="000612ED" w:rsidRPr="00A80A36" w:rsidRDefault="000612ED" w:rsidP="00BE0E62">
      <w:pPr>
        <w:spacing w:line="240" w:lineRule="atLeast"/>
        <w:jc w:val="both"/>
        <w:rPr>
          <w:rFonts w:ascii="Arial" w:hAnsi="Arial" w:cs="Arial"/>
          <w:bCs/>
        </w:rPr>
      </w:pPr>
    </w:p>
    <w:p w:rsidR="000612ED" w:rsidRPr="00A80A36" w:rsidRDefault="00CC06BD" w:rsidP="00BE0E62">
      <w:pPr>
        <w:spacing w:line="240" w:lineRule="atLeast"/>
        <w:jc w:val="both"/>
        <w:rPr>
          <w:rFonts w:ascii="Arial" w:hAnsi="Arial" w:cs="Arial"/>
          <w:bCs/>
        </w:rPr>
      </w:pPr>
      <w:r w:rsidRPr="00A80A36">
        <w:rPr>
          <w:rFonts w:ascii="Arial" w:hAnsi="Arial" w:cs="Arial"/>
          <w:bCs/>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0612ED" w:rsidRPr="00A80A36" w:rsidRDefault="000612ED" w:rsidP="00BE0E62">
      <w:pPr>
        <w:spacing w:line="240" w:lineRule="atLeast"/>
        <w:jc w:val="both"/>
        <w:rPr>
          <w:rFonts w:ascii="Arial" w:hAnsi="Arial" w:cs="Arial"/>
        </w:rPr>
      </w:pPr>
    </w:p>
    <w:p w:rsidR="000612ED" w:rsidRPr="00A80A36" w:rsidRDefault="000612ED" w:rsidP="00BE0E62">
      <w:pPr>
        <w:spacing w:line="240" w:lineRule="atLeast"/>
        <w:jc w:val="both"/>
        <w:rPr>
          <w:rFonts w:ascii="Arial" w:hAnsi="Arial" w:cs="Arial"/>
        </w:rPr>
      </w:pPr>
    </w:p>
    <w:sectPr w:rsidR="000612ED" w:rsidRPr="00A80A36" w:rsidSect="003D1CE9">
      <w:headerReference w:type="even" r:id="rId14"/>
      <w:headerReference w:type="default" r:id="rId15"/>
      <w:footerReference w:type="even" r:id="rId16"/>
      <w:footerReference w:type="default" r:id="rId17"/>
      <w:headerReference w:type="first" r:id="rId18"/>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6C8" w:rsidRDefault="00D026C8">
      <w:r>
        <w:separator/>
      </w:r>
    </w:p>
  </w:endnote>
  <w:endnote w:type="continuationSeparator" w:id="0">
    <w:p w:rsidR="00D026C8" w:rsidRDefault="00D026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BC263F"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BC263F"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E44A8A">
      <w:rPr>
        <w:rStyle w:val="Nmerodepgina"/>
        <w:noProof/>
      </w:rPr>
      <w:t>11</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6C8" w:rsidRDefault="00D026C8">
      <w:r>
        <w:separator/>
      </w:r>
    </w:p>
  </w:footnote>
  <w:footnote w:type="continuationSeparator" w:id="0">
    <w:p w:rsidR="00D026C8" w:rsidRDefault="00D026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BC263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BC263F"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BC263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7675"/>
    <w:multiLevelType w:val="hybridMultilevel"/>
    <w:tmpl w:val="A4BE7886"/>
    <w:lvl w:ilvl="0" w:tplc="BB16C2C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38AB2AFA"/>
    <w:multiLevelType w:val="multilevel"/>
    <w:tmpl w:val="C2E8EA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nsid w:val="3D5938CB"/>
    <w:multiLevelType w:val="multilevel"/>
    <w:tmpl w:val="29449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29F1F7A"/>
    <w:multiLevelType w:val="multilevel"/>
    <w:tmpl w:val="725CB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34315B3"/>
    <w:multiLevelType w:val="multilevel"/>
    <w:tmpl w:val="3754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57454D"/>
    <w:multiLevelType w:val="multilevel"/>
    <w:tmpl w:val="BAA2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631266"/>
    <w:multiLevelType w:val="hybridMultilevel"/>
    <w:tmpl w:val="C9CAE52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D4C7A9A"/>
    <w:multiLevelType w:val="multilevel"/>
    <w:tmpl w:val="69DCA5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6F7D5FA6"/>
    <w:multiLevelType w:val="multilevel"/>
    <w:tmpl w:val="FD58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0"/>
  </w:num>
  <w:num w:numId="2">
    <w:abstractNumId w:val="1"/>
  </w:num>
  <w:num w:numId="3">
    <w:abstractNumId w:val="0"/>
  </w:num>
  <w:num w:numId="4">
    <w:abstractNumId w:val="7"/>
  </w:num>
  <w:num w:numId="5">
    <w:abstractNumId w:val="9"/>
  </w:num>
  <w:num w:numId="6">
    <w:abstractNumId w:val="4"/>
  </w:num>
  <w:num w:numId="7">
    <w:abstractNumId w:val="6"/>
  </w:num>
  <w:num w:numId="8">
    <w:abstractNumId w:val="2"/>
  </w:num>
  <w:num w:numId="9">
    <w:abstractNumId w:val="5"/>
  </w:num>
  <w:num w:numId="10">
    <w:abstractNumId w:val="8"/>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proofState w:spelling="clean" w:grammar="clean"/>
  <w:stylePaneFormatFilter w:val="3F0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1D7106"/>
    <w:rsid w:val="00000ABC"/>
    <w:rsid w:val="00004938"/>
    <w:rsid w:val="00005799"/>
    <w:rsid w:val="00030EB5"/>
    <w:rsid w:val="00042584"/>
    <w:rsid w:val="0005553F"/>
    <w:rsid w:val="000612ED"/>
    <w:rsid w:val="000A7CDB"/>
    <w:rsid w:val="000B2EBE"/>
    <w:rsid w:val="000B2F45"/>
    <w:rsid w:val="000C4953"/>
    <w:rsid w:val="000E28D1"/>
    <w:rsid w:val="00103044"/>
    <w:rsid w:val="00103FB7"/>
    <w:rsid w:val="00110B0B"/>
    <w:rsid w:val="00112F07"/>
    <w:rsid w:val="0012153E"/>
    <w:rsid w:val="00124A8F"/>
    <w:rsid w:val="001253AB"/>
    <w:rsid w:val="00157E3F"/>
    <w:rsid w:val="00164C85"/>
    <w:rsid w:val="00165508"/>
    <w:rsid w:val="00165F77"/>
    <w:rsid w:val="00170DD1"/>
    <w:rsid w:val="00171D91"/>
    <w:rsid w:val="001765E7"/>
    <w:rsid w:val="001969A3"/>
    <w:rsid w:val="001A1FA1"/>
    <w:rsid w:val="001A63ED"/>
    <w:rsid w:val="001A7B7A"/>
    <w:rsid w:val="001B7964"/>
    <w:rsid w:val="001C623A"/>
    <w:rsid w:val="001D5340"/>
    <w:rsid w:val="001D7106"/>
    <w:rsid w:val="002210DC"/>
    <w:rsid w:val="00250B2A"/>
    <w:rsid w:val="00261758"/>
    <w:rsid w:val="00273806"/>
    <w:rsid w:val="002A2EE4"/>
    <w:rsid w:val="002A43E1"/>
    <w:rsid w:val="002A55E2"/>
    <w:rsid w:val="002A67D5"/>
    <w:rsid w:val="002B28AC"/>
    <w:rsid w:val="002E288C"/>
    <w:rsid w:val="00302FC6"/>
    <w:rsid w:val="00306870"/>
    <w:rsid w:val="00332F1F"/>
    <w:rsid w:val="00335AFE"/>
    <w:rsid w:val="00356029"/>
    <w:rsid w:val="0036668D"/>
    <w:rsid w:val="00377459"/>
    <w:rsid w:val="003A661D"/>
    <w:rsid w:val="003B2E6A"/>
    <w:rsid w:val="003B5346"/>
    <w:rsid w:val="003D1CE9"/>
    <w:rsid w:val="003D3323"/>
    <w:rsid w:val="003E7310"/>
    <w:rsid w:val="003F03D0"/>
    <w:rsid w:val="003F6D3F"/>
    <w:rsid w:val="004069A0"/>
    <w:rsid w:val="0044211B"/>
    <w:rsid w:val="00447B6D"/>
    <w:rsid w:val="00464DB2"/>
    <w:rsid w:val="00470BBC"/>
    <w:rsid w:val="00477745"/>
    <w:rsid w:val="0048268F"/>
    <w:rsid w:val="0048734A"/>
    <w:rsid w:val="004C18EF"/>
    <w:rsid w:val="004C3F6F"/>
    <w:rsid w:val="004C662F"/>
    <w:rsid w:val="004C6E1D"/>
    <w:rsid w:val="004F5139"/>
    <w:rsid w:val="004F7C0F"/>
    <w:rsid w:val="005021B0"/>
    <w:rsid w:val="00506FD3"/>
    <w:rsid w:val="00521E80"/>
    <w:rsid w:val="005403E4"/>
    <w:rsid w:val="00550443"/>
    <w:rsid w:val="00550F54"/>
    <w:rsid w:val="005510C9"/>
    <w:rsid w:val="00551B30"/>
    <w:rsid w:val="00563944"/>
    <w:rsid w:val="0056683F"/>
    <w:rsid w:val="00573B2A"/>
    <w:rsid w:val="0058295A"/>
    <w:rsid w:val="00597536"/>
    <w:rsid w:val="005A61FD"/>
    <w:rsid w:val="005B4016"/>
    <w:rsid w:val="005C3AEA"/>
    <w:rsid w:val="005C63EE"/>
    <w:rsid w:val="005D60B5"/>
    <w:rsid w:val="00600850"/>
    <w:rsid w:val="0060742C"/>
    <w:rsid w:val="00612088"/>
    <w:rsid w:val="00613635"/>
    <w:rsid w:val="006150B3"/>
    <w:rsid w:val="00624846"/>
    <w:rsid w:val="00636FBD"/>
    <w:rsid w:val="006551BF"/>
    <w:rsid w:val="0065747D"/>
    <w:rsid w:val="00693DE3"/>
    <w:rsid w:val="006949F3"/>
    <w:rsid w:val="006B0457"/>
    <w:rsid w:val="006C6D70"/>
    <w:rsid w:val="006F2E06"/>
    <w:rsid w:val="00716853"/>
    <w:rsid w:val="007259EF"/>
    <w:rsid w:val="0072781A"/>
    <w:rsid w:val="00736F1B"/>
    <w:rsid w:val="0073796D"/>
    <w:rsid w:val="00741184"/>
    <w:rsid w:val="007419EB"/>
    <w:rsid w:val="00742427"/>
    <w:rsid w:val="00743CB5"/>
    <w:rsid w:val="00785247"/>
    <w:rsid w:val="007B25B4"/>
    <w:rsid w:val="007C312B"/>
    <w:rsid w:val="007E12C7"/>
    <w:rsid w:val="00831D18"/>
    <w:rsid w:val="00832101"/>
    <w:rsid w:val="008343D7"/>
    <w:rsid w:val="00841DA9"/>
    <w:rsid w:val="0084671A"/>
    <w:rsid w:val="00850FCA"/>
    <w:rsid w:val="00853C1A"/>
    <w:rsid w:val="008574CE"/>
    <w:rsid w:val="00890667"/>
    <w:rsid w:val="008A7B31"/>
    <w:rsid w:val="008C759A"/>
    <w:rsid w:val="008D7B72"/>
    <w:rsid w:val="008E58A9"/>
    <w:rsid w:val="008E645F"/>
    <w:rsid w:val="008E7ECC"/>
    <w:rsid w:val="008F4096"/>
    <w:rsid w:val="00906ED6"/>
    <w:rsid w:val="00911FEA"/>
    <w:rsid w:val="009148CB"/>
    <w:rsid w:val="00920336"/>
    <w:rsid w:val="00923C22"/>
    <w:rsid w:val="009273D1"/>
    <w:rsid w:val="00927F47"/>
    <w:rsid w:val="00936906"/>
    <w:rsid w:val="00952DEA"/>
    <w:rsid w:val="00965866"/>
    <w:rsid w:val="0096624B"/>
    <w:rsid w:val="0098005C"/>
    <w:rsid w:val="009B4B36"/>
    <w:rsid w:val="009C4E3B"/>
    <w:rsid w:val="009C6D7B"/>
    <w:rsid w:val="009E38C3"/>
    <w:rsid w:val="00A22082"/>
    <w:rsid w:val="00A24F19"/>
    <w:rsid w:val="00A32B9E"/>
    <w:rsid w:val="00A35235"/>
    <w:rsid w:val="00A808A7"/>
    <w:rsid w:val="00A80A36"/>
    <w:rsid w:val="00A87133"/>
    <w:rsid w:val="00A96FFE"/>
    <w:rsid w:val="00AA6441"/>
    <w:rsid w:val="00AA6B49"/>
    <w:rsid w:val="00AC1DB3"/>
    <w:rsid w:val="00AD7449"/>
    <w:rsid w:val="00AE27D7"/>
    <w:rsid w:val="00AF0E4C"/>
    <w:rsid w:val="00B61D15"/>
    <w:rsid w:val="00B8303C"/>
    <w:rsid w:val="00B965F3"/>
    <w:rsid w:val="00BA2CA9"/>
    <w:rsid w:val="00BA36EC"/>
    <w:rsid w:val="00BA7438"/>
    <w:rsid w:val="00BB35CF"/>
    <w:rsid w:val="00BC263F"/>
    <w:rsid w:val="00BC608A"/>
    <w:rsid w:val="00BC65E7"/>
    <w:rsid w:val="00BE0E62"/>
    <w:rsid w:val="00BE28F6"/>
    <w:rsid w:val="00BF0B48"/>
    <w:rsid w:val="00BF2997"/>
    <w:rsid w:val="00C00E1F"/>
    <w:rsid w:val="00C122CD"/>
    <w:rsid w:val="00C252B2"/>
    <w:rsid w:val="00C30A93"/>
    <w:rsid w:val="00C3550F"/>
    <w:rsid w:val="00C47D37"/>
    <w:rsid w:val="00C57EB9"/>
    <w:rsid w:val="00C607D9"/>
    <w:rsid w:val="00C61805"/>
    <w:rsid w:val="00C65388"/>
    <w:rsid w:val="00C900E0"/>
    <w:rsid w:val="00CA621F"/>
    <w:rsid w:val="00CA7482"/>
    <w:rsid w:val="00CC06BD"/>
    <w:rsid w:val="00CC2C5E"/>
    <w:rsid w:val="00CD0F80"/>
    <w:rsid w:val="00CD576E"/>
    <w:rsid w:val="00CD5E8A"/>
    <w:rsid w:val="00CE0EA7"/>
    <w:rsid w:val="00CF4117"/>
    <w:rsid w:val="00D026C8"/>
    <w:rsid w:val="00D032EE"/>
    <w:rsid w:val="00D13CFA"/>
    <w:rsid w:val="00D20FA5"/>
    <w:rsid w:val="00D36D97"/>
    <w:rsid w:val="00D4361A"/>
    <w:rsid w:val="00D44DD9"/>
    <w:rsid w:val="00D60A2F"/>
    <w:rsid w:val="00D802E4"/>
    <w:rsid w:val="00D83636"/>
    <w:rsid w:val="00D83EF6"/>
    <w:rsid w:val="00DA1C13"/>
    <w:rsid w:val="00DA49DC"/>
    <w:rsid w:val="00DA5CEF"/>
    <w:rsid w:val="00DD2946"/>
    <w:rsid w:val="00DE54B5"/>
    <w:rsid w:val="00DF0002"/>
    <w:rsid w:val="00DF2C68"/>
    <w:rsid w:val="00DF3367"/>
    <w:rsid w:val="00DF6E17"/>
    <w:rsid w:val="00E00E6C"/>
    <w:rsid w:val="00E03F6F"/>
    <w:rsid w:val="00E116DF"/>
    <w:rsid w:val="00E2294B"/>
    <w:rsid w:val="00E33D27"/>
    <w:rsid w:val="00E42F5D"/>
    <w:rsid w:val="00E4418C"/>
    <w:rsid w:val="00E44A8A"/>
    <w:rsid w:val="00E54C0E"/>
    <w:rsid w:val="00E779BB"/>
    <w:rsid w:val="00E803DC"/>
    <w:rsid w:val="00EA0593"/>
    <w:rsid w:val="00EB32D4"/>
    <w:rsid w:val="00EB614B"/>
    <w:rsid w:val="00EC65E3"/>
    <w:rsid w:val="00EC70E5"/>
    <w:rsid w:val="00EF7910"/>
    <w:rsid w:val="00F0079A"/>
    <w:rsid w:val="00F31B5A"/>
    <w:rsid w:val="00F37296"/>
    <w:rsid w:val="00F37ACA"/>
    <w:rsid w:val="00F442FC"/>
    <w:rsid w:val="00F50A25"/>
    <w:rsid w:val="00F57933"/>
    <w:rsid w:val="00F60719"/>
    <w:rsid w:val="00FA64ED"/>
    <w:rsid w:val="00FB0E08"/>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Body Text" w:uiPriority="99"/>
    <w:lsdException w:name="Subtitle" w:qFormat="1"/>
    <w:lsdException w:name="Body Text 2" w:uiPriority="99"/>
    <w:lsdException w:name="Block Text" w:uiPriority="99"/>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paragraph" w:styleId="Ttulo1">
    <w:name w:val="heading 1"/>
    <w:basedOn w:val="Normal"/>
    <w:next w:val="Normal"/>
    <w:link w:val="Ttulo1Car"/>
    <w:uiPriority w:val="9"/>
    <w:qFormat/>
    <w:rsid w:val="00736F1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tulo2">
    <w:name w:val="heading 2"/>
    <w:basedOn w:val="Normal"/>
    <w:link w:val="Ttulo2Car"/>
    <w:uiPriority w:val="9"/>
    <w:qFormat/>
    <w:rsid w:val="005021B0"/>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uiPriority w:val="99"/>
    <w:rsid w:val="00CD576E"/>
    <w:pPr>
      <w:spacing w:before="100" w:beforeAutospacing="1" w:after="100" w:afterAutospacing="1"/>
    </w:pPr>
  </w:style>
  <w:style w:type="character" w:styleId="nfasis">
    <w:name w:val="Emphasis"/>
    <w:basedOn w:val="Fuentedeprrafopredeter"/>
    <w:uiPriority w:val="20"/>
    <w:qFormat/>
    <w:rsid w:val="00C47D37"/>
    <w:rPr>
      <w:i/>
      <w:iCs/>
    </w:rPr>
  </w:style>
  <w:style w:type="character" w:styleId="Textoennegrita">
    <w:name w:val="Strong"/>
    <w:basedOn w:val="Fuentedeprrafopredeter"/>
    <w:uiPriority w:val="22"/>
    <w:qFormat/>
    <w:rsid w:val="00C47D37"/>
    <w:rPr>
      <w:b/>
      <w:bCs/>
    </w:rPr>
  </w:style>
  <w:style w:type="paragraph" w:styleId="Prrafodelista">
    <w:name w:val="List Paragraph"/>
    <w:basedOn w:val="Normal"/>
    <w:uiPriority w:val="34"/>
    <w:qFormat/>
    <w:rsid w:val="00952DEA"/>
    <w:pPr>
      <w:ind w:left="720"/>
      <w:contextualSpacing/>
    </w:pPr>
  </w:style>
  <w:style w:type="character" w:customStyle="1" w:styleId="Ttulo1Car">
    <w:name w:val="Título 1 Car"/>
    <w:basedOn w:val="Fuentedeprrafopredeter"/>
    <w:link w:val="Ttulo1"/>
    <w:uiPriority w:val="9"/>
    <w:rsid w:val="00736F1B"/>
    <w:rPr>
      <w:rFonts w:asciiTheme="majorHAnsi" w:eastAsiaTheme="majorEastAsia" w:hAnsiTheme="majorHAnsi" w:cstheme="majorBidi"/>
      <w:b/>
      <w:bCs/>
      <w:color w:val="365F91" w:themeColor="accent1" w:themeShade="BF"/>
      <w:sz w:val="28"/>
      <w:szCs w:val="28"/>
      <w:lang w:eastAsia="en-US"/>
    </w:rPr>
  </w:style>
  <w:style w:type="paragraph" w:styleId="Ttulo">
    <w:name w:val="Title"/>
    <w:basedOn w:val="Normal"/>
    <w:next w:val="Normal"/>
    <w:link w:val="TtuloCar"/>
    <w:uiPriority w:val="10"/>
    <w:qFormat/>
    <w:rsid w:val="00FA64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tuloCar">
    <w:name w:val="Título Car"/>
    <w:basedOn w:val="Fuentedeprrafopredeter"/>
    <w:link w:val="Ttulo"/>
    <w:uiPriority w:val="10"/>
    <w:rsid w:val="00FA64ED"/>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tulo2Car">
    <w:name w:val="Título 2 Car"/>
    <w:basedOn w:val="Fuentedeprrafopredeter"/>
    <w:link w:val="Ttulo2"/>
    <w:uiPriority w:val="9"/>
    <w:rsid w:val="005021B0"/>
    <w:rPr>
      <w:b/>
      <w:bCs/>
      <w:sz w:val="36"/>
      <w:szCs w:val="36"/>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altoday.com/exportarurls?idporget=134366" TargetMode="Externa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56702-E8A3-4F82-AB3B-EAC35CEA7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Pages>
  <Words>1118</Words>
  <Characters>6154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7258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cp:lastModifiedBy>
  <cp:revision>18</cp:revision>
  <cp:lastPrinted>2014-05-18T08:02:00Z</cp:lastPrinted>
  <dcterms:created xsi:type="dcterms:W3CDTF">2014-11-25T09:32:00Z</dcterms:created>
  <dcterms:modified xsi:type="dcterms:W3CDTF">2014-12-28T09:16:00Z</dcterms:modified>
</cp:coreProperties>
</file>