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536" w:rsidRPr="008C16E7" w:rsidRDefault="00597536" w:rsidP="00597536">
      <w:pPr>
        <w:rPr>
          <w:rFonts w:ascii="Batang" w:eastAsia="Batang" w:hAnsi="Batang" w:cs="Arial"/>
          <w:b/>
          <w:bCs/>
          <w:color w:val="4F81BD" w:themeColor="accent1"/>
          <w:sz w:val="18"/>
          <w:szCs w:val="18"/>
        </w:rPr>
      </w:pPr>
    </w:p>
    <w:p w:rsidR="00C30A93" w:rsidRPr="008C16E7" w:rsidRDefault="00C30A93" w:rsidP="00597536">
      <w:pPr>
        <w:jc w:val="center"/>
        <w:rPr>
          <w:rFonts w:ascii="Batang" w:eastAsia="Batang" w:hAnsi="Batang" w:cs="Arial"/>
          <w:b/>
          <w:bCs/>
          <w:color w:val="4F81BD" w:themeColor="accent1"/>
          <w:sz w:val="18"/>
          <w:szCs w:val="18"/>
        </w:rPr>
      </w:pPr>
      <w:r w:rsidRPr="008C16E7">
        <w:rPr>
          <w:rFonts w:ascii="Batang" w:eastAsia="Batang" w:hAnsi="Batang" w:cs="Arial"/>
          <w:b/>
          <w:bCs/>
          <w:color w:val="4F81BD" w:themeColor="accent1"/>
          <w:sz w:val="18"/>
          <w:szCs w:val="18"/>
        </w:rPr>
        <w:t>Con este artículo ALFREDOGARCIALOPEZ.ES</w:t>
      </w:r>
      <w:r w:rsidR="001B7964" w:rsidRPr="008C16E7">
        <w:rPr>
          <w:rFonts w:ascii="Batang" w:eastAsia="Batang" w:hAnsi="Batang" w:cs="Arial"/>
          <w:b/>
          <w:bCs/>
          <w:color w:val="4F81BD" w:themeColor="accent1"/>
          <w:sz w:val="18"/>
          <w:szCs w:val="18"/>
        </w:rPr>
        <w:t>/COM</w:t>
      </w:r>
      <w:r w:rsidRPr="008C16E7">
        <w:rPr>
          <w:rFonts w:ascii="Batang" w:eastAsia="Batang" w:hAnsi="Batang" w:cs="Arial"/>
          <w:b/>
          <w:bCs/>
          <w:color w:val="4F81BD" w:themeColor="accent1"/>
          <w:sz w:val="18"/>
          <w:szCs w:val="18"/>
        </w:rPr>
        <w:t xml:space="preserve"> comienza a editar</w:t>
      </w:r>
      <w:r w:rsidR="008C16E7" w:rsidRPr="008C16E7">
        <w:rPr>
          <w:rFonts w:ascii="Batang" w:eastAsia="Batang" w:hAnsi="Batang" w:cs="Arial"/>
          <w:b/>
          <w:bCs/>
          <w:color w:val="4F81BD" w:themeColor="accent1"/>
          <w:sz w:val="18"/>
          <w:szCs w:val="18"/>
        </w:rPr>
        <w:t xml:space="preserve"> y publicar una serie de text</w:t>
      </w:r>
      <w:r w:rsidRPr="008C16E7">
        <w:rPr>
          <w:rFonts w:ascii="Batang" w:eastAsia="Batang" w:hAnsi="Batang" w:cs="Arial"/>
          <w:b/>
          <w:bCs/>
          <w:color w:val="4F81BD" w:themeColor="accent1"/>
          <w:sz w:val="18"/>
          <w:szCs w:val="18"/>
        </w:rPr>
        <w:t>os  de gran calado jurídico, destinados para la lectura de la Clientela de nuestro Despacho y del casual usuario de nuestra página web.</w:t>
      </w:r>
    </w:p>
    <w:p w:rsidR="00C30A93" w:rsidRPr="008C16E7" w:rsidRDefault="00C30A93" w:rsidP="00C30A93">
      <w:pPr>
        <w:jc w:val="center"/>
        <w:rPr>
          <w:rFonts w:ascii="Batang" w:eastAsia="Batang" w:hAnsi="Batang" w:cs="Arial"/>
          <w:b/>
          <w:bCs/>
          <w:color w:val="4F81BD" w:themeColor="accent1"/>
          <w:sz w:val="18"/>
          <w:szCs w:val="18"/>
        </w:rPr>
      </w:pPr>
    </w:p>
    <w:p w:rsidR="001A63ED" w:rsidRPr="008C16E7" w:rsidRDefault="00C30A93" w:rsidP="00C30A93">
      <w:pPr>
        <w:ind w:firstLine="708"/>
        <w:jc w:val="center"/>
        <w:rPr>
          <w:rFonts w:ascii="Batang" w:eastAsia="Batang" w:hAnsi="Batang" w:cs="Arial"/>
          <w:b/>
          <w:bCs/>
          <w:color w:val="4F81BD" w:themeColor="accent1"/>
          <w:sz w:val="18"/>
          <w:szCs w:val="18"/>
        </w:rPr>
      </w:pPr>
      <w:r w:rsidRPr="008C16E7">
        <w:rPr>
          <w:rFonts w:ascii="Batang" w:eastAsia="Batang" w:hAnsi="Batang" w:cs="Arial"/>
          <w:b/>
          <w:bCs/>
          <w:color w:val="4F81BD" w:themeColor="accent1"/>
          <w:sz w:val="18"/>
          <w:szCs w:val="18"/>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1D5340" w:rsidRPr="008C16E7" w:rsidRDefault="001D5340" w:rsidP="0084671A">
      <w:pPr>
        <w:rPr>
          <w:rFonts w:ascii="Batang" w:eastAsia="Batang" w:hAnsi="Batang" w:cs="Arial"/>
          <w:b/>
          <w:color w:val="4F81BD" w:themeColor="accent1"/>
          <w:sz w:val="28"/>
          <w:szCs w:val="28"/>
        </w:rPr>
      </w:pPr>
    </w:p>
    <w:p w:rsidR="001D5340" w:rsidRPr="008C16E7" w:rsidRDefault="0084671A" w:rsidP="0084671A">
      <w:pPr>
        <w:jc w:val="center"/>
        <w:rPr>
          <w:rFonts w:ascii="Batang" w:eastAsia="Batang" w:hAnsi="Batang" w:cs="Arial"/>
          <w:b/>
          <w:color w:val="4F81BD" w:themeColor="accent1"/>
          <w:sz w:val="28"/>
          <w:szCs w:val="28"/>
        </w:rPr>
      </w:pPr>
      <w:r w:rsidRPr="008C16E7">
        <w:rPr>
          <w:rFonts w:ascii="Batang" w:eastAsia="Batang" w:hAnsi="Batang" w:cs="Arial"/>
          <w:b/>
          <w:noProof/>
          <w:color w:val="4F81BD" w:themeColor="accent1"/>
          <w:sz w:val="28"/>
          <w:szCs w:val="28"/>
        </w:rPr>
        <w:drawing>
          <wp:inline distT="0" distB="0" distL="0" distR="0">
            <wp:extent cx="5400040" cy="3818132"/>
            <wp:effectExtent l="19050" t="0" r="0" b="0"/>
            <wp:docPr id="3"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8"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FF3D70" w:rsidRPr="008C16E7" w:rsidRDefault="00FF3D70" w:rsidP="00FF3D70">
      <w:pPr>
        <w:jc w:val="both"/>
        <w:rPr>
          <w:rFonts w:ascii="Batang" w:eastAsia="Batang" w:hAnsi="Batang" w:cs="Arial"/>
          <w:b/>
          <w:bCs/>
          <w:color w:val="4F81BD" w:themeColor="accent1"/>
          <w:sz w:val="28"/>
          <w:szCs w:val="28"/>
          <w:lang w:val="en-US"/>
        </w:rPr>
      </w:pPr>
    </w:p>
    <w:p w:rsidR="00F33E8F" w:rsidRPr="008C16E7" w:rsidRDefault="00BA1804" w:rsidP="00F33E8F">
      <w:pPr>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xml:space="preserve"> </w:t>
      </w:r>
    </w:p>
    <w:p w:rsidR="000040C1" w:rsidRPr="008C16E7" w:rsidRDefault="000040C1" w:rsidP="000040C1">
      <w:pPr>
        <w:pStyle w:val="NormalWeb"/>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xml:space="preserve">  </w:t>
      </w:r>
    </w:p>
    <w:p w:rsidR="000040C1" w:rsidRPr="008C16E7" w:rsidRDefault="000040C1" w:rsidP="000040C1">
      <w:pPr>
        <w:pStyle w:val="NormalWeb"/>
        <w:jc w:val="center"/>
        <w:rPr>
          <w:rFonts w:ascii="Batang" w:eastAsia="Batang" w:hAnsi="Batang" w:cs="Arial"/>
          <w:b/>
          <w:bCs/>
          <w:color w:val="4F81BD" w:themeColor="accent1"/>
          <w:sz w:val="28"/>
          <w:szCs w:val="28"/>
        </w:rPr>
      </w:pPr>
      <w:r w:rsidRPr="008C16E7">
        <w:rPr>
          <w:rFonts w:ascii="Batang" w:eastAsia="Batang" w:hAnsi="Batang" w:cs="Arial"/>
          <w:b/>
          <w:bCs/>
          <w:color w:val="4F81BD" w:themeColor="accent1"/>
          <w:sz w:val="28"/>
          <w:szCs w:val="28"/>
        </w:rPr>
        <w:lastRenderedPageBreak/>
        <w:t xml:space="preserve">LA </w:t>
      </w:r>
    </w:p>
    <w:p w:rsidR="000040C1" w:rsidRPr="008C16E7" w:rsidRDefault="000040C1" w:rsidP="000040C1">
      <w:pPr>
        <w:pStyle w:val="NormalWeb"/>
        <w:jc w:val="center"/>
        <w:rPr>
          <w:rFonts w:ascii="Batang" w:eastAsia="Batang" w:hAnsi="Batang" w:cs="Arial"/>
          <w:b/>
          <w:bCs/>
          <w:color w:val="4F81BD" w:themeColor="accent1"/>
          <w:sz w:val="28"/>
          <w:szCs w:val="28"/>
        </w:rPr>
      </w:pPr>
      <w:r w:rsidRPr="008C16E7">
        <w:rPr>
          <w:rFonts w:ascii="Batang" w:eastAsia="Batang" w:hAnsi="Batang" w:cs="Arial"/>
          <w:b/>
          <w:bCs/>
          <w:color w:val="4F81BD" w:themeColor="accent1"/>
          <w:sz w:val="28"/>
          <w:szCs w:val="28"/>
        </w:rPr>
        <w:t xml:space="preserve">AUDIENCIA NACIONAL </w:t>
      </w:r>
    </w:p>
    <w:p w:rsidR="000040C1" w:rsidRPr="008C16E7" w:rsidRDefault="000040C1" w:rsidP="000040C1">
      <w:pPr>
        <w:pStyle w:val="NormalWeb"/>
        <w:jc w:val="center"/>
        <w:rPr>
          <w:rFonts w:ascii="Batang" w:eastAsia="Batang" w:hAnsi="Batang" w:cs="Arial"/>
          <w:b/>
          <w:bCs/>
          <w:color w:val="4F81BD" w:themeColor="accent1"/>
          <w:sz w:val="28"/>
          <w:szCs w:val="28"/>
        </w:rPr>
      </w:pPr>
      <w:r w:rsidRPr="008C16E7">
        <w:rPr>
          <w:rFonts w:ascii="Batang" w:eastAsia="Batang" w:hAnsi="Batang" w:cs="Arial"/>
          <w:b/>
          <w:bCs/>
          <w:color w:val="4F81BD" w:themeColor="accent1"/>
          <w:sz w:val="28"/>
          <w:szCs w:val="28"/>
        </w:rPr>
        <w:t>PIDE MÁS PODER PARA ENJUICIAR ABUSOS BANCARIOS</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El goteo de pronunciamientos sobre el Anteproyecto de Ley Orgánica del Poder Judicial, aprobada en Consejo de Ministros el pasado 4 de abril, siguen su curso: primero le tocó al Tribunal Supremo y ahora también la Audiencia Nacional y los jueces decanos han emitido sus valoraciones sobre la norma.</w:t>
      </w:r>
    </w:p>
    <w:p w:rsidR="000040C1" w:rsidRPr="008C16E7" w:rsidRDefault="005F2FA5" w:rsidP="000040C1">
      <w:pPr>
        <w:pStyle w:val="NormalWeb"/>
        <w:jc w:val="both"/>
        <w:rPr>
          <w:rFonts w:ascii="Batang" w:eastAsia="Batang" w:hAnsi="Batang" w:cs="Arial"/>
          <w:b/>
          <w:color w:val="4F81BD" w:themeColor="accent1"/>
          <w:sz w:val="28"/>
          <w:szCs w:val="28"/>
        </w:rPr>
      </w:pPr>
      <w:hyperlink r:id="rId9" w:history="1"/>
      <w:r w:rsidR="000040C1" w:rsidRPr="008C16E7">
        <w:rPr>
          <w:rFonts w:ascii="Batang" w:eastAsia="Batang" w:hAnsi="Batang" w:cs="Arial"/>
          <w:b/>
          <w:color w:val="4F81BD" w:themeColor="accent1"/>
          <w:sz w:val="28"/>
          <w:szCs w:val="28"/>
        </w:rPr>
        <w:t xml:space="preserve"> </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Precisamente uno de los puntos que reclama la Audiencia pasa por renovar sus competencias para conocer determinados tipos de asuntos. Así, el Tribunal reclama aumentar su implicación en materia civil, concretamente en la vertiente mercantil.</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bCs/>
          <w:color w:val="4F81BD" w:themeColor="accent1"/>
          <w:sz w:val="28"/>
          <w:szCs w:val="28"/>
        </w:rPr>
        <w:t xml:space="preserve">El objetivo es conocer y enjuiciar "todos los asuntos económicos de especial envergadura, ya sea por su índole económica o por afectar a un número importante y elevado de perjudicados". </w:t>
      </w:r>
      <w:r w:rsidRPr="008C16E7">
        <w:rPr>
          <w:rFonts w:ascii="Batang" w:eastAsia="Batang" w:hAnsi="Batang" w:cs="Arial"/>
          <w:b/>
          <w:color w:val="4F81BD" w:themeColor="accent1"/>
          <w:sz w:val="28"/>
          <w:szCs w:val="28"/>
        </w:rPr>
        <w:t xml:space="preserve">Como ejemplo, el </w:t>
      </w:r>
      <w:hyperlink r:id="rId10" w:history="1">
        <w:r w:rsidRPr="008C16E7">
          <w:rPr>
            <w:rStyle w:val="Hipervnculo"/>
            <w:rFonts w:ascii="Batang" w:eastAsia="Batang" w:hAnsi="Batang" w:cs="Arial"/>
            <w:b/>
            <w:color w:val="4F81BD" w:themeColor="accent1"/>
            <w:sz w:val="28"/>
            <w:szCs w:val="28"/>
            <w:u w:val="none"/>
          </w:rPr>
          <w:t>informe</w:t>
        </w:r>
      </w:hyperlink>
      <w:r w:rsidRPr="008C16E7">
        <w:rPr>
          <w:rFonts w:ascii="Batang" w:eastAsia="Batang" w:hAnsi="Batang" w:cs="Arial"/>
          <w:b/>
          <w:color w:val="4F81BD" w:themeColor="accent1"/>
          <w:sz w:val="28"/>
          <w:szCs w:val="28"/>
        </w:rPr>
        <w:t xml:space="preserve"> habla de demandas colectivas presentadas por asociaciones de usuarios, así como los concursos de acreedores más importantes por su volumen.</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lastRenderedPageBreak/>
        <w:t xml:space="preserve">Además, </w:t>
      </w:r>
      <w:r w:rsidRPr="008C16E7">
        <w:rPr>
          <w:rFonts w:ascii="Batang" w:eastAsia="Batang" w:hAnsi="Batang" w:cs="Arial"/>
          <w:b/>
          <w:bCs/>
          <w:color w:val="4F81BD" w:themeColor="accent1"/>
          <w:sz w:val="28"/>
          <w:szCs w:val="28"/>
        </w:rPr>
        <w:t>la Audiencia arremete contra la doctrina jurisprudencial vinculante del Supremo</w:t>
      </w:r>
      <w:r w:rsidRPr="008C16E7">
        <w:rPr>
          <w:rFonts w:ascii="Batang" w:eastAsia="Batang" w:hAnsi="Batang" w:cs="Arial"/>
          <w:b/>
          <w:color w:val="4F81BD" w:themeColor="accent1"/>
          <w:sz w:val="28"/>
          <w:szCs w:val="28"/>
        </w:rPr>
        <w:t xml:space="preserve">, </w:t>
      </w:r>
      <w:hyperlink r:id="rId11" w:history="1">
        <w:r w:rsidRPr="008C16E7">
          <w:rPr>
            <w:rStyle w:val="Hipervnculo"/>
            <w:rFonts w:ascii="Batang" w:eastAsia="Batang" w:hAnsi="Batang" w:cs="Arial"/>
            <w:b/>
            <w:color w:val="4F81BD" w:themeColor="accent1"/>
            <w:sz w:val="28"/>
            <w:szCs w:val="28"/>
            <w:u w:val="none"/>
          </w:rPr>
          <w:t>tal y como lo hizo el propio Alto Tribunal la semana pasada</w:t>
        </w:r>
      </w:hyperlink>
      <w:r w:rsidRPr="008C16E7">
        <w:rPr>
          <w:rFonts w:ascii="Batang" w:eastAsia="Batang" w:hAnsi="Batang" w:cs="Arial"/>
          <w:b/>
          <w:color w:val="4F81BD" w:themeColor="accent1"/>
          <w:sz w:val="28"/>
          <w:szCs w:val="28"/>
        </w:rPr>
        <w:t xml:space="preserve"> en su informe sobre la reforma. Según la AN, se trata de "un precepto muy discutible y merecedor de reconsideración", ya que podría convertirse en "una suerte de nuevo poder legislativo", en cuanto el Supremo estará habilitado para establecer criterios normativos que determinarán la aplicación al supuesto enjuiciado de normas legales y reglamentarias. </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xml:space="preserve">El informe también hace referencia a la </w:t>
      </w:r>
      <w:r w:rsidRPr="008C16E7">
        <w:rPr>
          <w:rFonts w:ascii="Batang" w:eastAsia="Batang" w:hAnsi="Batang" w:cs="Arial"/>
          <w:b/>
          <w:bCs/>
          <w:color w:val="4F81BD" w:themeColor="accent1"/>
          <w:sz w:val="28"/>
          <w:szCs w:val="28"/>
        </w:rPr>
        <w:t>introducción de los llamados Tribunales de Instancia</w:t>
      </w:r>
      <w:r w:rsidRPr="008C16E7">
        <w:rPr>
          <w:rFonts w:ascii="Batang" w:eastAsia="Batang" w:hAnsi="Batang" w:cs="Arial"/>
          <w:b/>
          <w:color w:val="4F81BD" w:themeColor="accent1"/>
          <w:sz w:val="28"/>
          <w:szCs w:val="28"/>
        </w:rPr>
        <w:t xml:space="preserve"> y opina que, aunque comparte los "loables objetivos que determinan su creación", las ventajas que ofrece este sistema -por ejemplo, a través de las economías de escala- parecen menos "evidentes" en un tribunal como la Audiencia Nacional, con "un número poco elevado de órganos de primera instancia". </w:t>
      </w:r>
    </w:p>
    <w:p w:rsidR="000040C1" w:rsidRPr="008C16E7" w:rsidRDefault="000040C1" w:rsidP="000040C1">
      <w:pPr>
        <w:pStyle w:val="NormalWeb"/>
        <w:jc w:val="both"/>
        <w:rPr>
          <w:rFonts w:ascii="Batang" w:eastAsia="Batang" w:hAnsi="Batang" w:cs="Arial"/>
          <w:b/>
          <w:bCs/>
          <w:color w:val="4F81BD" w:themeColor="accent1"/>
          <w:sz w:val="28"/>
          <w:szCs w:val="28"/>
        </w:rPr>
      </w:pPr>
      <w:r w:rsidRPr="008C16E7">
        <w:rPr>
          <w:rFonts w:ascii="Batang" w:eastAsia="Batang" w:hAnsi="Batang" w:cs="Arial"/>
          <w:b/>
          <w:bCs/>
          <w:color w:val="4F81BD" w:themeColor="accent1"/>
          <w:sz w:val="28"/>
          <w:szCs w:val="28"/>
        </w:rPr>
        <w:t>Los jueces decanos opinan</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xml:space="preserve">Los jueces decanos, por su parte, también valoraron negativamente en su </w:t>
      </w:r>
      <w:hyperlink r:id="rId12" w:history="1">
        <w:r w:rsidRPr="008C16E7">
          <w:rPr>
            <w:rStyle w:val="Hipervnculo"/>
            <w:rFonts w:ascii="Batang" w:eastAsia="Batang" w:hAnsi="Batang" w:cs="Arial"/>
            <w:b/>
            <w:color w:val="4F81BD" w:themeColor="accent1"/>
            <w:sz w:val="28"/>
            <w:szCs w:val="28"/>
            <w:u w:val="none"/>
          </w:rPr>
          <w:t>informe</w:t>
        </w:r>
      </w:hyperlink>
      <w:r w:rsidRPr="008C16E7">
        <w:rPr>
          <w:rFonts w:ascii="Batang" w:eastAsia="Batang" w:hAnsi="Batang" w:cs="Arial"/>
          <w:b/>
          <w:color w:val="4F81BD" w:themeColor="accent1"/>
          <w:sz w:val="28"/>
          <w:szCs w:val="28"/>
        </w:rPr>
        <w:t xml:space="preserve"> el carácter vinculante de la jurisprudencia del Supremo, una novedad que </w:t>
      </w:r>
      <w:r w:rsidRPr="008C16E7">
        <w:rPr>
          <w:rFonts w:ascii="Batang" w:eastAsia="Batang" w:hAnsi="Batang" w:cs="Arial"/>
          <w:b/>
          <w:bCs/>
          <w:color w:val="4F81BD" w:themeColor="accent1"/>
          <w:sz w:val="28"/>
          <w:szCs w:val="28"/>
        </w:rPr>
        <w:t>"de facto, altera el sistema de fuentes pero sin modificar el artículo 1 del Código Civil</w:t>
      </w:r>
      <w:r w:rsidRPr="008C16E7">
        <w:rPr>
          <w:rFonts w:ascii="Batang" w:eastAsia="Batang" w:hAnsi="Batang" w:cs="Arial"/>
          <w:b/>
          <w:color w:val="4F81BD" w:themeColor="accent1"/>
          <w:sz w:val="28"/>
          <w:szCs w:val="28"/>
        </w:rPr>
        <w:t xml:space="preserve">, que hubiera sido la sede adecuada". Señalan, en este sentido, el riesgo de "petrificación de la jurisprudencia y su impermeabilidad a nuevas tendencias vanguardistas" que este sistema conlleva. </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bCs/>
          <w:color w:val="4F81BD" w:themeColor="accent1"/>
          <w:sz w:val="28"/>
          <w:szCs w:val="28"/>
        </w:rPr>
        <w:lastRenderedPageBreak/>
        <w:t>Otro punto caliente es la previsión de prohibir a los jueces hacer comentarios en medios de comunicación sobre casos abiertos.</w:t>
      </w:r>
      <w:r w:rsidRPr="008C16E7">
        <w:rPr>
          <w:rFonts w:ascii="Batang" w:eastAsia="Batang" w:hAnsi="Batang" w:cs="Arial"/>
          <w:b/>
          <w:color w:val="4F81BD" w:themeColor="accent1"/>
          <w:sz w:val="28"/>
          <w:szCs w:val="28"/>
        </w:rPr>
        <w:t xml:space="preserve"> Tanto Supremo como Audiencia Nacional y jueces decanos consideran esta previsión como inoportuna y limitadora de la libertad de expresión, a lo que se suma la existencia de sanciones para casos en que el magistrado se extralimite. Según los jueces decanos, tal medida resulta "gratuita, innecesaria y no encuentra ninguna justificación razonable, aspecto en el que coinciden todas las asociaciones judiciales". El sector también pone en duda, como el Supremo, la constitucionalidad de esta limitación. </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xml:space="preserve">En cuanto a la demarcación judicial única de ámbito provincial, aunque tal diseño es "correcto desde el punto de vista conceptual", resulta "inaplicable en el momento presente", debido a la dispersión de las sedes judiciales. Por ello, los jueces proponen convertir esta reforma en un objetivo a largo plazo. </w:t>
      </w:r>
    </w:p>
    <w:p w:rsidR="000040C1" w:rsidRPr="008C16E7" w:rsidRDefault="000040C1" w:rsidP="000040C1">
      <w:pPr>
        <w:pStyle w:val="NormalWeb"/>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xml:space="preserve">Los jueces decanos también arremeten contra la </w:t>
      </w:r>
      <w:r w:rsidRPr="008C16E7">
        <w:rPr>
          <w:rFonts w:ascii="Batang" w:eastAsia="Batang" w:hAnsi="Batang" w:cs="Arial"/>
          <w:b/>
          <w:bCs/>
          <w:color w:val="4F81BD" w:themeColor="accent1"/>
          <w:sz w:val="28"/>
          <w:szCs w:val="28"/>
        </w:rPr>
        <w:t>"supresión absoluta de la democracia interna y de la participación de los jueces en la elección de sus órganos de gobierno"</w:t>
      </w:r>
      <w:r w:rsidRPr="008C16E7">
        <w:rPr>
          <w:rFonts w:ascii="Batang" w:eastAsia="Batang" w:hAnsi="Batang" w:cs="Arial"/>
          <w:b/>
          <w:color w:val="4F81BD" w:themeColor="accent1"/>
          <w:sz w:val="28"/>
          <w:szCs w:val="28"/>
        </w:rPr>
        <w:t>, en referencia a la supresión de la supresión de la figura del juez decano y de las juntas de jueces. Se opta, al contrario, por un sistema "presidencialista y controlado por el CGPJ".</w:t>
      </w:r>
    </w:p>
    <w:p w:rsidR="000040C1" w:rsidRPr="008C16E7" w:rsidRDefault="000040C1" w:rsidP="000040C1">
      <w:pPr>
        <w:pStyle w:val="NormalWeb"/>
        <w:rPr>
          <w:rFonts w:ascii="Batang" w:eastAsia="Batang" w:hAnsi="Batang" w:cs="Arial"/>
          <w:b/>
          <w:color w:val="4F81BD" w:themeColor="accent1"/>
          <w:sz w:val="28"/>
          <w:szCs w:val="28"/>
        </w:rPr>
      </w:pPr>
    </w:p>
    <w:p w:rsidR="000C3AA1" w:rsidRPr="008C16E7" w:rsidRDefault="000C3AA1" w:rsidP="000C3AA1">
      <w:pPr>
        <w:pStyle w:val="NormalWeb"/>
        <w:jc w:val="both"/>
        <w:rPr>
          <w:rFonts w:ascii="Batang" w:eastAsia="Batang" w:hAnsi="Batang" w:cs="Arial"/>
          <w:b/>
          <w:bCs/>
          <w:color w:val="4F81BD" w:themeColor="accent1"/>
          <w:sz w:val="28"/>
          <w:szCs w:val="28"/>
        </w:rPr>
      </w:pPr>
    </w:p>
    <w:p w:rsidR="000C3AA1" w:rsidRPr="008C16E7" w:rsidRDefault="000C3AA1" w:rsidP="000C3AA1">
      <w:pPr>
        <w:pStyle w:val="NormalWeb"/>
        <w:jc w:val="both"/>
        <w:rPr>
          <w:rFonts w:ascii="Batang" w:eastAsia="Batang" w:hAnsi="Batang" w:cs="Arial"/>
          <w:b/>
          <w:bCs/>
          <w:color w:val="4F81BD" w:themeColor="accent1"/>
          <w:sz w:val="28"/>
          <w:szCs w:val="28"/>
        </w:rPr>
      </w:pPr>
      <w:r w:rsidRPr="008C16E7">
        <w:rPr>
          <w:rFonts w:ascii="Batang" w:eastAsia="Batang" w:hAnsi="Batang" w:cs="Arial"/>
          <w:b/>
          <w:bCs/>
          <w:color w:val="4F81BD" w:themeColor="accent1"/>
          <w:sz w:val="28"/>
          <w:szCs w:val="28"/>
        </w:rPr>
        <w:lastRenderedPageBreak/>
        <w:t xml:space="preserve"> </w:t>
      </w:r>
    </w:p>
    <w:p w:rsidR="000C3AA1" w:rsidRPr="008C16E7" w:rsidRDefault="000C3AA1" w:rsidP="000C3AA1">
      <w:pPr>
        <w:jc w:val="both"/>
        <w:rPr>
          <w:rFonts w:ascii="Batang" w:eastAsia="Batang" w:hAnsi="Batang" w:cs="Arial"/>
          <w:b/>
          <w:bCs/>
          <w:color w:val="4F81BD" w:themeColor="accent1"/>
          <w:sz w:val="28"/>
          <w:szCs w:val="28"/>
        </w:rPr>
      </w:pPr>
    </w:p>
    <w:p w:rsidR="007F1CB5" w:rsidRPr="008C16E7" w:rsidRDefault="007F1CB5" w:rsidP="000C3AA1">
      <w:pPr>
        <w:jc w:val="both"/>
        <w:rPr>
          <w:rFonts w:ascii="Batang" w:eastAsia="Batang" w:hAnsi="Batang"/>
          <w:b/>
          <w:color w:val="4F81BD" w:themeColor="accent1"/>
          <w:sz w:val="28"/>
          <w:szCs w:val="28"/>
        </w:rPr>
      </w:pPr>
    </w:p>
    <w:p w:rsidR="007F1CB5" w:rsidRPr="008C16E7" w:rsidRDefault="007F1CB5" w:rsidP="007F1CB5">
      <w:pPr>
        <w:jc w:val="both"/>
        <w:rPr>
          <w:rFonts w:ascii="Batang" w:eastAsia="Batang" w:hAnsi="Batang" w:cs="Arial"/>
          <w:b/>
          <w:bCs/>
          <w:color w:val="4F81BD" w:themeColor="accent1"/>
          <w:sz w:val="28"/>
          <w:szCs w:val="28"/>
        </w:rPr>
      </w:pPr>
    </w:p>
    <w:p w:rsidR="00B40459" w:rsidRPr="008C16E7" w:rsidRDefault="00B40459" w:rsidP="00B40459">
      <w:pPr>
        <w:jc w:val="both"/>
        <w:rPr>
          <w:rFonts w:ascii="Batang" w:eastAsia="Batang" w:hAnsi="Batang" w:cs="Arial"/>
          <w:b/>
          <w:color w:val="4F81BD" w:themeColor="accent1"/>
          <w:sz w:val="28"/>
          <w:szCs w:val="28"/>
        </w:rPr>
      </w:pPr>
    </w:p>
    <w:p w:rsidR="007B7425" w:rsidRPr="008C16E7" w:rsidRDefault="007B7425" w:rsidP="007B7425">
      <w:pPr>
        <w:spacing w:before="100" w:beforeAutospacing="1" w:after="100" w:afterAutospacing="1"/>
        <w:jc w:val="both"/>
        <w:rPr>
          <w:rFonts w:ascii="Batang" w:eastAsia="Batang" w:hAnsi="Batang" w:cs="Arial"/>
          <w:b/>
          <w:bCs/>
          <w:color w:val="4F81BD" w:themeColor="accent1"/>
          <w:sz w:val="28"/>
          <w:szCs w:val="28"/>
        </w:rPr>
      </w:pPr>
    </w:p>
    <w:p w:rsidR="007B7425" w:rsidRPr="008C16E7" w:rsidRDefault="007B7425" w:rsidP="007B7425">
      <w:pPr>
        <w:jc w:val="both"/>
        <w:rPr>
          <w:rFonts w:ascii="Batang" w:eastAsia="Batang" w:hAnsi="Batang" w:cs="Arial"/>
          <w:b/>
          <w:bCs/>
          <w:color w:val="4F81BD" w:themeColor="accent1"/>
          <w:sz w:val="28"/>
          <w:szCs w:val="28"/>
        </w:rPr>
      </w:pPr>
    </w:p>
    <w:p w:rsidR="00551B30" w:rsidRPr="008C16E7" w:rsidRDefault="00551B30" w:rsidP="00551B30">
      <w:pPr>
        <w:jc w:val="both"/>
        <w:rPr>
          <w:rFonts w:ascii="Batang" w:eastAsia="Batang" w:hAnsi="Batang" w:cs="Arial"/>
          <w:b/>
          <w:color w:val="4F81BD" w:themeColor="accent1"/>
          <w:sz w:val="28"/>
          <w:szCs w:val="28"/>
        </w:rPr>
      </w:pPr>
    </w:p>
    <w:p w:rsidR="00272BAB" w:rsidRPr="008C16E7" w:rsidRDefault="007B7425" w:rsidP="00272BAB">
      <w:pPr>
        <w:jc w:val="both"/>
        <w:rPr>
          <w:rFonts w:ascii="Batang" w:eastAsia="Batang" w:hAnsi="Batang" w:cs="Arial"/>
          <w:b/>
          <w:bCs/>
          <w:color w:val="4F81BD" w:themeColor="accent1"/>
          <w:sz w:val="28"/>
          <w:szCs w:val="28"/>
        </w:rPr>
      </w:pPr>
      <w:r w:rsidRPr="008C16E7">
        <w:rPr>
          <w:rFonts w:ascii="Batang" w:eastAsia="Batang" w:hAnsi="Batang" w:cs="Arial"/>
          <w:b/>
          <w:bCs/>
          <w:color w:val="4F81BD" w:themeColor="accent1"/>
          <w:sz w:val="28"/>
          <w:szCs w:val="28"/>
        </w:rPr>
        <w:t xml:space="preserve">          </w:t>
      </w:r>
    </w:p>
    <w:p w:rsidR="006E6072" w:rsidRPr="008C16E7" w:rsidRDefault="006E6072" w:rsidP="006E6072">
      <w:pPr>
        <w:jc w:val="both"/>
        <w:rPr>
          <w:rFonts w:ascii="Batang" w:eastAsia="Batang" w:hAnsi="Batang" w:cs="Arial"/>
          <w:b/>
          <w:color w:val="4F81BD" w:themeColor="accent1"/>
          <w:sz w:val="28"/>
          <w:szCs w:val="28"/>
        </w:rPr>
      </w:pPr>
    </w:p>
    <w:p w:rsidR="002B28AC" w:rsidRPr="008C16E7" w:rsidRDefault="00BE28F6" w:rsidP="00B40459">
      <w:pPr>
        <w:jc w:val="center"/>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xml:space="preserve"> </w:t>
      </w:r>
    </w:p>
    <w:p w:rsidR="002B28AC" w:rsidRPr="008C16E7" w:rsidRDefault="00920336" w:rsidP="001A63ED">
      <w:pPr>
        <w:jc w:val="both"/>
        <w:rPr>
          <w:rFonts w:ascii="Batang" w:eastAsia="Batang" w:hAnsi="Batang" w:cs="Arial"/>
          <w:b/>
          <w:color w:val="4F81BD" w:themeColor="accent1"/>
          <w:sz w:val="28"/>
          <w:szCs w:val="28"/>
        </w:rPr>
      </w:pPr>
      <w:r w:rsidRPr="008C16E7">
        <w:rPr>
          <w:rFonts w:ascii="Batang" w:eastAsia="Batang" w:hAnsi="Batang" w:cs="Arial"/>
          <w:b/>
          <w:color w:val="4F81BD" w:themeColor="accent1"/>
          <w:sz w:val="28"/>
          <w:szCs w:val="28"/>
        </w:rPr>
        <w:t xml:space="preserve"> </w:t>
      </w:r>
    </w:p>
    <w:p w:rsidR="008C759A" w:rsidRPr="008C16E7" w:rsidRDefault="008C759A" w:rsidP="001A63ED">
      <w:pPr>
        <w:jc w:val="both"/>
        <w:rPr>
          <w:rFonts w:ascii="Batang" w:eastAsia="Batang" w:hAnsi="Batang" w:cs="Arial"/>
          <w:b/>
          <w:color w:val="4F81BD" w:themeColor="accent1"/>
          <w:sz w:val="28"/>
          <w:szCs w:val="28"/>
        </w:rPr>
      </w:pPr>
      <w:r w:rsidRPr="008C16E7">
        <w:rPr>
          <w:rFonts w:ascii="Batang" w:eastAsia="Batang" w:hAnsi="Batang" w:cs="Arial"/>
          <w:b/>
          <w:noProof/>
          <w:color w:val="4F81BD" w:themeColor="accent1"/>
          <w:sz w:val="28"/>
          <w:szCs w:val="28"/>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13"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r w:rsidRPr="008C16E7">
        <w:rPr>
          <w:rFonts w:ascii="Batang" w:eastAsia="Batang" w:hAnsi="Batang" w:cs="Arial"/>
          <w:b/>
          <w:noProof/>
          <w:color w:val="4F81BD" w:themeColor="accent1"/>
          <w:sz w:val="28"/>
          <w:szCs w:val="28"/>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4"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8C759A" w:rsidRPr="008C16E7" w:rsidRDefault="008C759A"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8C759A" w:rsidP="001A63ED">
      <w:pPr>
        <w:jc w:val="both"/>
        <w:rPr>
          <w:rFonts w:ascii="Batang" w:eastAsia="Batang" w:hAnsi="Batang" w:cs="Arial"/>
          <w:b/>
          <w:color w:val="4F81BD" w:themeColor="accent1"/>
          <w:sz w:val="28"/>
          <w:szCs w:val="28"/>
        </w:rPr>
      </w:pPr>
      <w:r w:rsidRPr="008C16E7">
        <w:rPr>
          <w:rFonts w:ascii="Batang" w:eastAsia="Batang" w:hAnsi="Batang" w:cs="Arial"/>
          <w:b/>
          <w:noProof/>
          <w:color w:val="4F81BD" w:themeColor="accent1"/>
          <w:sz w:val="28"/>
          <w:szCs w:val="28"/>
        </w:rPr>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5"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r w:rsidRPr="008C16E7">
        <w:rPr>
          <w:rFonts w:ascii="Batang" w:eastAsia="Batang" w:hAnsi="Batang" w:cs="Arial"/>
          <w:b/>
          <w:noProof/>
          <w:color w:val="4F81BD" w:themeColor="accent1"/>
          <w:sz w:val="28"/>
          <w:szCs w:val="28"/>
        </w:rPr>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p>
    <w:p w:rsidR="00112F07" w:rsidRPr="008C16E7" w:rsidRDefault="00112F07" w:rsidP="001A63ED">
      <w:pPr>
        <w:jc w:val="both"/>
        <w:rPr>
          <w:rFonts w:ascii="Batang" w:eastAsia="Batang" w:hAnsi="Batang" w:cs="Arial"/>
          <w:b/>
          <w:color w:val="4F81BD" w:themeColor="accent1"/>
          <w:sz w:val="28"/>
          <w:szCs w:val="28"/>
        </w:rPr>
      </w:pPr>
      <w:r w:rsidRPr="008C16E7">
        <w:rPr>
          <w:rFonts w:ascii="Batang" w:eastAsia="Batang" w:hAnsi="Batang" w:cs="Arial"/>
          <w:b/>
          <w:noProof/>
          <w:color w:val="4F81BD" w:themeColor="accent1"/>
          <w:sz w:val="28"/>
          <w:szCs w:val="28"/>
        </w:rPr>
        <w:lastRenderedPageBreak/>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sectPr w:rsidR="00112F07" w:rsidRPr="008C16E7" w:rsidSect="003D1CE9">
      <w:headerReference w:type="even" r:id="rId18"/>
      <w:headerReference w:type="default" r:id="rId19"/>
      <w:footerReference w:type="even" r:id="rId20"/>
      <w:footerReference w:type="default" r:id="rId21"/>
      <w:headerReference w:type="first" r:id="rId22"/>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C4C" w:rsidRDefault="00DA0C4C">
      <w:r>
        <w:separator/>
      </w:r>
    </w:p>
  </w:endnote>
  <w:endnote w:type="continuationSeparator" w:id="0">
    <w:p w:rsidR="00DA0C4C" w:rsidRDefault="00DA0C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F2FA5"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F2FA5"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8C16E7">
      <w:rPr>
        <w:rStyle w:val="Nmerodepgina"/>
        <w:noProof/>
      </w:rPr>
      <w:t>2</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C4C" w:rsidRDefault="00DA0C4C">
      <w:r>
        <w:separator/>
      </w:r>
    </w:p>
  </w:footnote>
  <w:footnote w:type="continuationSeparator" w:id="0">
    <w:p w:rsidR="00DA0C4C" w:rsidRDefault="00DA0C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5F2FA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5F2FA5"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5F2FA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1D7106"/>
    <w:rsid w:val="00000ABC"/>
    <w:rsid w:val="000040C1"/>
    <w:rsid w:val="00005799"/>
    <w:rsid w:val="00030EB5"/>
    <w:rsid w:val="00042584"/>
    <w:rsid w:val="0005553F"/>
    <w:rsid w:val="000A7CDB"/>
    <w:rsid w:val="000B2EBE"/>
    <w:rsid w:val="000B2F45"/>
    <w:rsid w:val="000C3AA1"/>
    <w:rsid w:val="000C4953"/>
    <w:rsid w:val="001021C5"/>
    <w:rsid w:val="00103044"/>
    <w:rsid w:val="00110B0B"/>
    <w:rsid w:val="00111F2E"/>
    <w:rsid w:val="00112F07"/>
    <w:rsid w:val="00124A8F"/>
    <w:rsid w:val="001253AB"/>
    <w:rsid w:val="00165508"/>
    <w:rsid w:val="00170DD1"/>
    <w:rsid w:val="00171D91"/>
    <w:rsid w:val="001765E7"/>
    <w:rsid w:val="001969A3"/>
    <w:rsid w:val="001A1FA1"/>
    <w:rsid w:val="001A63ED"/>
    <w:rsid w:val="001B7964"/>
    <w:rsid w:val="001C623A"/>
    <w:rsid w:val="001D5340"/>
    <w:rsid w:val="001D7106"/>
    <w:rsid w:val="002210DC"/>
    <w:rsid w:val="00250B2A"/>
    <w:rsid w:val="00261758"/>
    <w:rsid w:val="00272BAB"/>
    <w:rsid w:val="002A2EE4"/>
    <w:rsid w:val="002A43E1"/>
    <w:rsid w:val="002A67D5"/>
    <w:rsid w:val="002B28AC"/>
    <w:rsid w:val="002E288C"/>
    <w:rsid w:val="002E53D4"/>
    <w:rsid w:val="00302FC6"/>
    <w:rsid w:val="00332F1F"/>
    <w:rsid w:val="00335AFE"/>
    <w:rsid w:val="00356029"/>
    <w:rsid w:val="0036668D"/>
    <w:rsid w:val="00377459"/>
    <w:rsid w:val="003A661D"/>
    <w:rsid w:val="003B2E6A"/>
    <w:rsid w:val="003B5346"/>
    <w:rsid w:val="003D1CE9"/>
    <w:rsid w:val="003E7310"/>
    <w:rsid w:val="003F03D0"/>
    <w:rsid w:val="003F6D3F"/>
    <w:rsid w:val="004069A0"/>
    <w:rsid w:val="0044211B"/>
    <w:rsid w:val="00447B6D"/>
    <w:rsid w:val="00447DE0"/>
    <w:rsid w:val="00464DB2"/>
    <w:rsid w:val="00477745"/>
    <w:rsid w:val="0048268F"/>
    <w:rsid w:val="0048734A"/>
    <w:rsid w:val="004C18EF"/>
    <w:rsid w:val="004C3F6F"/>
    <w:rsid w:val="004C662F"/>
    <w:rsid w:val="004F7C0F"/>
    <w:rsid w:val="00506FD3"/>
    <w:rsid w:val="0050754F"/>
    <w:rsid w:val="00521E80"/>
    <w:rsid w:val="0054766C"/>
    <w:rsid w:val="00550443"/>
    <w:rsid w:val="00550F54"/>
    <w:rsid w:val="00551B30"/>
    <w:rsid w:val="00563944"/>
    <w:rsid w:val="0056683F"/>
    <w:rsid w:val="00573B2A"/>
    <w:rsid w:val="0058295A"/>
    <w:rsid w:val="00597536"/>
    <w:rsid w:val="005A61FD"/>
    <w:rsid w:val="005B4016"/>
    <w:rsid w:val="005C63EE"/>
    <w:rsid w:val="005F2FA5"/>
    <w:rsid w:val="00600850"/>
    <w:rsid w:val="0063019B"/>
    <w:rsid w:val="00636FBD"/>
    <w:rsid w:val="0065747D"/>
    <w:rsid w:val="00693DE3"/>
    <w:rsid w:val="006949F3"/>
    <w:rsid w:val="006B0457"/>
    <w:rsid w:val="006C6D70"/>
    <w:rsid w:val="006E6072"/>
    <w:rsid w:val="006F2E06"/>
    <w:rsid w:val="0072781A"/>
    <w:rsid w:val="00741184"/>
    <w:rsid w:val="007419EB"/>
    <w:rsid w:val="00743CB5"/>
    <w:rsid w:val="00773353"/>
    <w:rsid w:val="007B25B4"/>
    <w:rsid w:val="007B7425"/>
    <w:rsid w:val="007C312B"/>
    <w:rsid w:val="007E12C7"/>
    <w:rsid w:val="007F1CB5"/>
    <w:rsid w:val="007F4FB8"/>
    <w:rsid w:val="00831D18"/>
    <w:rsid w:val="00832101"/>
    <w:rsid w:val="008343D7"/>
    <w:rsid w:val="00841DA9"/>
    <w:rsid w:val="0084671A"/>
    <w:rsid w:val="00850FCA"/>
    <w:rsid w:val="008574CE"/>
    <w:rsid w:val="00890667"/>
    <w:rsid w:val="008C16E7"/>
    <w:rsid w:val="008C759A"/>
    <w:rsid w:val="008E58A9"/>
    <w:rsid w:val="008F4096"/>
    <w:rsid w:val="00911FEA"/>
    <w:rsid w:val="009148CB"/>
    <w:rsid w:val="00920336"/>
    <w:rsid w:val="00936906"/>
    <w:rsid w:val="0098005C"/>
    <w:rsid w:val="009C6D7B"/>
    <w:rsid w:val="009E38C3"/>
    <w:rsid w:val="00A22082"/>
    <w:rsid w:val="00A24F19"/>
    <w:rsid w:val="00A96FFE"/>
    <w:rsid w:val="00AA6441"/>
    <w:rsid w:val="00AA6B49"/>
    <w:rsid w:val="00AC1DB3"/>
    <w:rsid w:val="00AD7449"/>
    <w:rsid w:val="00AE27D7"/>
    <w:rsid w:val="00AF0E4C"/>
    <w:rsid w:val="00B33700"/>
    <w:rsid w:val="00B40459"/>
    <w:rsid w:val="00B61D15"/>
    <w:rsid w:val="00B8303C"/>
    <w:rsid w:val="00B965F3"/>
    <w:rsid w:val="00BA1804"/>
    <w:rsid w:val="00BA2CA9"/>
    <w:rsid w:val="00BB35CF"/>
    <w:rsid w:val="00BC608A"/>
    <w:rsid w:val="00BC65E7"/>
    <w:rsid w:val="00BE28F6"/>
    <w:rsid w:val="00BF0B48"/>
    <w:rsid w:val="00C00E1F"/>
    <w:rsid w:val="00C122CD"/>
    <w:rsid w:val="00C252B2"/>
    <w:rsid w:val="00C30A93"/>
    <w:rsid w:val="00C3550F"/>
    <w:rsid w:val="00C47D37"/>
    <w:rsid w:val="00C57EB9"/>
    <w:rsid w:val="00C65388"/>
    <w:rsid w:val="00C900E0"/>
    <w:rsid w:val="00CA7482"/>
    <w:rsid w:val="00CD0F80"/>
    <w:rsid w:val="00CD576E"/>
    <w:rsid w:val="00CD5E8A"/>
    <w:rsid w:val="00CE0EA7"/>
    <w:rsid w:val="00CF4117"/>
    <w:rsid w:val="00D032EE"/>
    <w:rsid w:val="00D13CFA"/>
    <w:rsid w:val="00D20FA5"/>
    <w:rsid w:val="00D4361A"/>
    <w:rsid w:val="00D44DD9"/>
    <w:rsid w:val="00D60A2F"/>
    <w:rsid w:val="00D802E4"/>
    <w:rsid w:val="00D83636"/>
    <w:rsid w:val="00D85140"/>
    <w:rsid w:val="00DA0C4C"/>
    <w:rsid w:val="00DA5CEF"/>
    <w:rsid w:val="00DD2946"/>
    <w:rsid w:val="00DE54B5"/>
    <w:rsid w:val="00DF2C68"/>
    <w:rsid w:val="00DF3367"/>
    <w:rsid w:val="00DF6E17"/>
    <w:rsid w:val="00E00E6C"/>
    <w:rsid w:val="00E03F6F"/>
    <w:rsid w:val="00E116DF"/>
    <w:rsid w:val="00E33D27"/>
    <w:rsid w:val="00E54C0E"/>
    <w:rsid w:val="00E779BB"/>
    <w:rsid w:val="00E803DC"/>
    <w:rsid w:val="00EA0593"/>
    <w:rsid w:val="00EB32D4"/>
    <w:rsid w:val="00EB614B"/>
    <w:rsid w:val="00EC65E3"/>
    <w:rsid w:val="00EC70E5"/>
    <w:rsid w:val="00F33E8F"/>
    <w:rsid w:val="00F50A25"/>
    <w:rsid w:val="00F57933"/>
    <w:rsid w:val="00F77AE2"/>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character" w:customStyle="1" w:styleId="juris-num">
    <w:name w:val="juris-num"/>
    <w:basedOn w:val="Fuentedeprrafopredeter"/>
    <w:rsid w:val="00272BAB"/>
  </w:style>
  <w:style w:type="paragraph" w:customStyle="1" w:styleId="h2">
    <w:name w:val="h2"/>
    <w:basedOn w:val="Normal"/>
    <w:rsid w:val="007B742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01.s3c.es/imag/doc/2014-06-09/juecesdecanos-CGPJ.pd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economista.es/publicidad/destinia/legislacion/noticias/5833644/06/14/El-Supremo-pide-filtros-mas-estrictos-para-la-casacion.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01.s3c.es/imag/doc/2014-06-09/audiencianacional-CGPJ.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leconomista.es/ecoley/" TargetMode="External"/><Relationship Id="rId14" Type="http://schemas.openxmlformats.org/officeDocument/2006/relationships/image" Target="media/image3.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423C6-9AFE-467B-9BEE-7522524A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728</Words>
  <Characters>4004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5</cp:revision>
  <cp:lastPrinted>2014-05-18T07:08:00Z</cp:lastPrinted>
  <dcterms:created xsi:type="dcterms:W3CDTF">2014-05-28T17:40:00Z</dcterms:created>
  <dcterms:modified xsi:type="dcterms:W3CDTF">2014-09-04T05:00:00Z</dcterms:modified>
</cp:coreProperties>
</file>