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219" w:rsidRDefault="00FA6BB4" w:rsidP="00B12964">
      <w:pPr>
        <w:spacing w:line="360" w:lineRule="auto"/>
        <w:jc w:val="both"/>
        <w:rPr>
          <w:rStyle w:val="nfasis"/>
          <w:rFonts w:ascii="Arial" w:hAnsi="Arial" w:cs="Arial"/>
          <w:i w:val="0"/>
        </w:rPr>
      </w:pPr>
      <w:r>
        <w:rPr>
          <w:rFonts w:ascii="Arial" w:hAnsi="Arial" w:cs="Arial"/>
          <w:bCs/>
        </w:rPr>
        <w:t xml:space="preserve">GASTOS DE FORMALIZACIÓN DE HIPOTECAS. </w:t>
      </w:r>
      <w:r w:rsidR="003D3219" w:rsidRPr="00B12964">
        <w:rPr>
          <w:rFonts w:ascii="Arial" w:hAnsi="Arial" w:cs="Arial"/>
          <w:bCs/>
        </w:rPr>
        <w:t>Gastos notariales y registrales derivados de la formalización de hipotecas</w:t>
      </w:r>
      <w:r w:rsidR="00B12964">
        <w:rPr>
          <w:rFonts w:ascii="Arial" w:hAnsi="Arial" w:cs="Arial"/>
        </w:rPr>
        <w:t xml:space="preserve">. </w:t>
      </w:r>
      <w:r w:rsidR="003D3219" w:rsidRPr="00B12964">
        <w:rPr>
          <w:rStyle w:val="nfasis"/>
          <w:rFonts w:ascii="Arial" w:hAnsi="Arial" w:cs="Arial"/>
          <w:i w:val="0"/>
        </w:rPr>
        <w:t>A finales del mes de julio se dictaron tres interesantes sentencias de diversos tribunales y ámbitos territoriales que abordan, de un modo diferente, el trascendental asunto</w:t>
      </w:r>
      <w:r w:rsidR="00B12964">
        <w:rPr>
          <w:rStyle w:val="nfasis"/>
          <w:rFonts w:ascii="Arial" w:hAnsi="Arial" w:cs="Arial"/>
          <w:i w:val="0"/>
        </w:rPr>
        <w:t>.</w:t>
      </w:r>
    </w:p>
    <w:p w:rsidR="00B12964" w:rsidRPr="00B12964" w:rsidRDefault="00B12964" w:rsidP="00B12964">
      <w:pPr>
        <w:spacing w:line="360" w:lineRule="auto"/>
        <w:jc w:val="both"/>
        <w:rPr>
          <w:rFonts w:ascii="Arial" w:hAnsi="Arial" w:cs="Arial"/>
        </w:rPr>
      </w:pPr>
    </w:p>
    <w:p w:rsidR="003D3219" w:rsidRDefault="003D3219" w:rsidP="00B12964">
      <w:pPr>
        <w:pStyle w:val="NormalWeb"/>
        <w:spacing w:before="0" w:beforeAutospacing="0" w:after="0" w:afterAutospacing="0" w:line="360" w:lineRule="auto"/>
        <w:jc w:val="both"/>
        <w:rPr>
          <w:rFonts w:ascii="Arial" w:hAnsi="Arial" w:cs="Arial"/>
        </w:rPr>
      </w:pPr>
      <w:r w:rsidRPr="00B12964">
        <w:rPr>
          <w:rFonts w:ascii="Arial" w:hAnsi="Arial" w:cs="Arial"/>
        </w:rPr>
        <w:t>El Juzgado de Primera Instancia de Zaragoza, especializado en materia bancaria, ha dictado una sentencia que anula parte de la cláusula de gastos de un préstamo hipotecario al considerarla abusiva porque impone a los prestatarios la obligación de abonar de manera total e indiscriminada los gastos notariales y registrales del préstamo así como los de gestoría.</w:t>
      </w:r>
    </w:p>
    <w:p w:rsidR="00B12964" w:rsidRPr="00B12964" w:rsidRDefault="00B12964" w:rsidP="00B12964">
      <w:pPr>
        <w:pStyle w:val="NormalWeb"/>
        <w:spacing w:before="0" w:beforeAutospacing="0" w:after="0" w:afterAutospacing="0" w:line="360" w:lineRule="auto"/>
        <w:jc w:val="both"/>
        <w:rPr>
          <w:rFonts w:ascii="Arial" w:hAnsi="Arial" w:cs="Arial"/>
        </w:rPr>
      </w:pPr>
    </w:p>
    <w:p w:rsidR="003D3219" w:rsidRDefault="003D3219" w:rsidP="00B12964">
      <w:pPr>
        <w:pStyle w:val="NormalWeb"/>
        <w:spacing w:before="0" w:beforeAutospacing="0" w:after="0" w:afterAutospacing="0" w:line="360" w:lineRule="auto"/>
        <w:jc w:val="both"/>
        <w:rPr>
          <w:rFonts w:ascii="Arial" w:hAnsi="Arial" w:cs="Arial"/>
        </w:rPr>
      </w:pPr>
      <w:r w:rsidRPr="00B12964">
        <w:rPr>
          <w:rFonts w:ascii="Arial" w:hAnsi="Arial" w:cs="Arial"/>
        </w:rPr>
        <w:t>El juez estima equilibrada la atribución al consumidor del pago del 50 % o menos de los gastos notariales, siempre que la entidad bancaria quede obligada al abono del porcentaje restante (50 % o más). En cuanto a los aranceles derivados de la intervención del Registrador de la Propiedad, estima adecuado imponer el abono íntegro de los mismos a la entidad bancaria, ya que es ésta quien ostenta el interés principal en la constitución de la hipoteca.</w:t>
      </w:r>
    </w:p>
    <w:p w:rsidR="00B12964" w:rsidRPr="00B12964" w:rsidRDefault="00B12964" w:rsidP="00B12964">
      <w:pPr>
        <w:pStyle w:val="NormalWeb"/>
        <w:spacing w:before="0" w:beforeAutospacing="0" w:after="0" w:afterAutospacing="0" w:line="360" w:lineRule="auto"/>
        <w:jc w:val="both"/>
        <w:rPr>
          <w:rFonts w:ascii="Arial" w:hAnsi="Arial" w:cs="Arial"/>
        </w:rPr>
      </w:pPr>
    </w:p>
    <w:p w:rsidR="003D3219" w:rsidRDefault="003D3219" w:rsidP="00B12964">
      <w:pPr>
        <w:pStyle w:val="NormalWeb"/>
        <w:spacing w:before="0" w:beforeAutospacing="0" w:after="0" w:afterAutospacing="0" w:line="360" w:lineRule="auto"/>
        <w:jc w:val="both"/>
        <w:rPr>
          <w:rFonts w:ascii="Arial" w:hAnsi="Arial" w:cs="Arial"/>
        </w:rPr>
      </w:pPr>
      <w:r w:rsidRPr="00B12964">
        <w:rPr>
          <w:rFonts w:ascii="Arial" w:hAnsi="Arial" w:cs="Arial"/>
        </w:rPr>
        <w:t>Se impone el abono íntegro al consumidor contraviniendo directamente la interpretación de la norma arancelaria que lo regula, y generando, en detrimento del consumidor, un importante desequilibrio de los derechos y obligaciones que cada una de las partes ostenta en el contrato, y puntualiza la sentencia que dicha cláusula no habría sido aceptada por el consumidor si se hubiese negociado individualmente en igualdad de condiciones, es, por tanto, contraria a las exigencias de la buena fe.</w:t>
      </w:r>
    </w:p>
    <w:p w:rsidR="00B12964" w:rsidRPr="00B12964" w:rsidRDefault="00B12964" w:rsidP="00B12964">
      <w:pPr>
        <w:pStyle w:val="NormalWeb"/>
        <w:spacing w:before="0" w:beforeAutospacing="0" w:after="0" w:afterAutospacing="0" w:line="360" w:lineRule="auto"/>
        <w:jc w:val="both"/>
        <w:rPr>
          <w:rFonts w:ascii="Arial" w:hAnsi="Arial" w:cs="Arial"/>
        </w:rPr>
      </w:pPr>
    </w:p>
    <w:p w:rsidR="003D3219" w:rsidRDefault="003D3219" w:rsidP="00B12964">
      <w:pPr>
        <w:pStyle w:val="NormalWeb"/>
        <w:spacing w:before="0" w:beforeAutospacing="0" w:after="0" w:afterAutospacing="0" w:line="360" w:lineRule="auto"/>
        <w:jc w:val="both"/>
        <w:rPr>
          <w:rFonts w:ascii="Arial" w:hAnsi="Arial" w:cs="Arial"/>
        </w:rPr>
      </w:pPr>
      <w:r w:rsidRPr="00B12964">
        <w:rPr>
          <w:rFonts w:ascii="Arial" w:hAnsi="Arial" w:cs="Arial"/>
        </w:rPr>
        <w:t xml:space="preserve">Por otro lado, la sección cuarta de la Audiencia de Las Palmas ha dictado sentencia en la que señala que son nulas las cláusulas de los préstamos hipotecarios que atribuyen a los clientes el pago de la totalidad de los gastos de </w:t>
      </w:r>
      <w:r w:rsidRPr="00B12964">
        <w:rPr>
          <w:rFonts w:ascii="Arial" w:hAnsi="Arial" w:cs="Arial"/>
        </w:rPr>
        <w:lastRenderedPageBreak/>
        <w:t>Notaría y de Registro de la Propiedad detallando que el banco debe reintegrar a los clientes no la mitad sino todos los gastos que éstos hayan abonado por dichos conceptos.</w:t>
      </w:r>
    </w:p>
    <w:p w:rsidR="00B12964" w:rsidRPr="00B12964" w:rsidRDefault="00B12964" w:rsidP="00B12964">
      <w:pPr>
        <w:pStyle w:val="NormalWeb"/>
        <w:spacing w:before="0" w:beforeAutospacing="0" w:after="0" w:afterAutospacing="0" w:line="360" w:lineRule="auto"/>
        <w:jc w:val="both"/>
        <w:rPr>
          <w:rFonts w:ascii="Arial" w:hAnsi="Arial" w:cs="Arial"/>
        </w:rPr>
      </w:pPr>
    </w:p>
    <w:p w:rsidR="003D3219" w:rsidRDefault="003D3219" w:rsidP="00B12964">
      <w:pPr>
        <w:pStyle w:val="NormalWeb"/>
        <w:spacing w:before="0" w:beforeAutospacing="0" w:after="0" w:afterAutospacing="0" w:line="360" w:lineRule="auto"/>
        <w:jc w:val="both"/>
        <w:rPr>
          <w:rFonts w:ascii="Arial" w:hAnsi="Arial" w:cs="Arial"/>
        </w:rPr>
      </w:pPr>
      <w:r w:rsidRPr="00B12964">
        <w:rPr>
          <w:rFonts w:ascii="Arial" w:hAnsi="Arial" w:cs="Arial"/>
        </w:rPr>
        <w:t>Dado que tanto la formalización de la escritura pública ante notario como la inscripción de la garantía hipotecaria en el Registro de la Propiedad se efectúan en el exclusivo interés del Banco, es éste quien debe correr con dichos gastos, añade la sentencia.</w:t>
      </w:r>
    </w:p>
    <w:p w:rsidR="00B12964" w:rsidRPr="00B12964" w:rsidRDefault="00B12964" w:rsidP="00B12964">
      <w:pPr>
        <w:pStyle w:val="NormalWeb"/>
        <w:spacing w:before="0" w:beforeAutospacing="0" w:after="0" w:afterAutospacing="0" w:line="360" w:lineRule="auto"/>
        <w:jc w:val="both"/>
        <w:rPr>
          <w:rFonts w:ascii="Arial" w:hAnsi="Arial" w:cs="Arial"/>
        </w:rPr>
      </w:pPr>
    </w:p>
    <w:p w:rsidR="003D3219" w:rsidRDefault="003D3219" w:rsidP="00B12964">
      <w:pPr>
        <w:pStyle w:val="NormalWeb"/>
        <w:spacing w:before="0" w:beforeAutospacing="0" w:after="0" w:afterAutospacing="0" w:line="360" w:lineRule="auto"/>
        <w:jc w:val="both"/>
        <w:rPr>
          <w:rFonts w:ascii="Arial" w:hAnsi="Arial" w:cs="Arial"/>
        </w:rPr>
      </w:pPr>
      <w:r w:rsidRPr="00B12964">
        <w:rPr>
          <w:rFonts w:ascii="Arial" w:hAnsi="Arial" w:cs="Arial"/>
        </w:rPr>
        <w:t xml:space="preserve">En parecido sentido se ha pronunciado el Juzgado de Primera Instancia nº 2 de Santander, conocido como Juzgado de Cláusulas Suelo de Cantabria, que ha declarado nula la cláusula de un contrato hipotecario que atribuía al cliente el pago de todos los gastos derivados del mismo; a juicio del magistrado la citada cláusula es una condición general que el banco predispone con anterioridad al contrato, que éste impone a los consumidores, y que es contraría la buena fe creando desequilibrio en detrimento de los demandantes, y que no supera el control de </w:t>
      </w:r>
      <w:proofErr w:type="spellStart"/>
      <w:r w:rsidRPr="00B12964">
        <w:rPr>
          <w:rFonts w:ascii="Arial" w:hAnsi="Arial" w:cs="Arial"/>
        </w:rPr>
        <w:t>abusividad</w:t>
      </w:r>
      <w:proofErr w:type="spellEnd"/>
      <w:r w:rsidRPr="00B12964">
        <w:rPr>
          <w:rFonts w:ascii="Arial" w:hAnsi="Arial" w:cs="Arial"/>
        </w:rPr>
        <w:t>, dado que es omnicomprensiva, genérica y se redacta de tal modo que hace referencia a gastos de devengo futuro y eventuales.</w:t>
      </w:r>
    </w:p>
    <w:p w:rsidR="00B12964" w:rsidRPr="00B12964" w:rsidRDefault="00B12964" w:rsidP="00B12964">
      <w:pPr>
        <w:pStyle w:val="NormalWeb"/>
        <w:spacing w:before="0" w:beforeAutospacing="0" w:after="0" w:afterAutospacing="0" w:line="360" w:lineRule="auto"/>
        <w:jc w:val="both"/>
        <w:rPr>
          <w:rFonts w:ascii="Arial" w:hAnsi="Arial" w:cs="Arial"/>
        </w:rPr>
      </w:pPr>
    </w:p>
    <w:p w:rsidR="003D3219" w:rsidRDefault="003D3219" w:rsidP="00B12964">
      <w:pPr>
        <w:pStyle w:val="NormalWeb"/>
        <w:spacing w:before="0" w:beforeAutospacing="0" w:after="0" w:afterAutospacing="0" w:line="360" w:lineRule="auto"/>
        <w:jc w:val="both"/>
        <w:rPr>
          <w:rFonts w:ascii="Arial" w:hAnsi="Arial" w:cs="Arial"/>
        </w:rPr>
      </w:pPr>
      <w:r w:rsidRPr="00B12964">
        <w:rPr>
          <w:rFonts w:ascii="Arial" w:hAnsi="Arial" w:cs="Arial"/>
        </w:rPr>
        <w:t>Según establece la sentencia, el interesado en que conste en escritura pública la garantía del crédito es la entidad bancaria, porque con ello obtiene numerosas ventajas de todo tipo, es al banco a quien le interesa una escritura pública y por ello es quien requiere al notario el otorgamiento, así que será él quien tenga que costearlo.</w:t>
      </w:r>
    </w:p>
    <w:p w:rsidR="00B12964" w:rsidRPr="00B12964" w:rsidRDefault="00B12964" w:rsidP="00B12964">
      <w:pPr>
        <w:pStyle w:val="NormalWeb"/>
        <w:spacing w:before="0" w:beforeAutospacing="0" w:after="0" w:afterAutospacing="0" w:line="360" w:lineRule="auto"/>
        <w:jc w:val="both"/>
        <w:rPr>
          <w:rFonts w:ascii="Arial" w:hAnsi="Arial" w:cs="Arial"/>
        </w:rPr>
      </w:pPr>
    </w:p>
    <w:p w:rsidR="00F361D2" w:rsidRPr="00B12964" w:rsidRDefault="003D3219" w:rsidP="00B12964">
      <w:pPr>
        <w:pStyle w:val="NormalWeb"/>
        <w:spacing w:before="0" w:beforeAutospacing="0" w:after="0" w:afterAutospacing="0" w:line="360" w:lineRule="auto"/>
        <w:jc w:val="both"/>
        <w:rPr>
          <w:rFonts w:ascii="Arial" w:hAnsi="Arial" w:cs="Arial"/>
        </w:rPr>
      </w:pPr>
      <w:r w:rsidRPr="00B12964">
        <w:rPr>
          <w:rFonts w:ascii="Arial" w:hAnsi="Arial" w:cs="Arial"/>
        </w:rPr>
        <w:t>La sentencia establece que la entidad bancaria no podrá volver a utilizar la cláusula para cobrar gastos futuros como, por ejemplo, los de cancelación de hipoteca, pero no condena al banco a la devolución de los gastos cobrados en la formalización de la hipoteca, dado que la demanda no lo pedía.</w:t>
      </w:r>
    </w:p>
    <w:sectPr w:rsidR="00F361D2" w:rsidRPr="00B12964" w:rsidSect="00F50D86">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D56" w:rsidRDefault="00157D56">
      <w:r>
        <w:separator/>
      </w:r>
    </w:p>
  </w:endnote>
  <w:endnote w:type="continuationSeparator" w:id="0">
    <w:p w:rsidR="00157D56" w:rsidRDefault="00157D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15F92"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15F92"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FA6BB4">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53024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25" w:rsidRDefault="00D32F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D56" w:rsidRDefault="00157D56">
      <w:r>
        <w:separator/>
      </w:r>
    </w:p>
  </w:footnote>
  <w:footnote w:type="continuationSeparator" w:id="0">
    <w:p w:rsidR="00157D56" w:rsidRDefault="00157D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15F9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6" o:spid="_x0000_s2053" type="#_x0000_t75" style="position:absolute;margin-left:0;margin-top:0;width:424.65pt;height:300.5pt;z-index:-251658752;mso-position-horizontal:center;mso-position-horizontal-relative:margin;mso-position-vertical:center;mso-position-vertical-relative:margin" o:allowincell="f">
          <v:imagedata r:id="rId1" o:title="ABOGADOS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15F92"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7" o:spid="_x0000_s2054" type="#_x0000_t75" style="position:absolute;left:0;text-align:left;margin-left:0;margin-top:0;width:424.65pt;height:300.5pt;z-index:-251657728;mso-position-horizontal:center;mso-position-horizontal-relative:margin;mso-position-vertical:center;mso-position-vertical-relative:margin" o:allowincell="f">
          <v:imagedata r:id="rId1" o:title="ABOGADOS 3" gain="19661f" blacklevel="22938f"/>
          <w10:wrap anchorx="margin" anchory="margin"/>
        </v:shape>
      </w:pict>
    </w:r>
    <w:r w:rsidR="00142864">
      <w:rPr>
        <w:noProof/>
      </w:rPr>
      <w:drawing>
        <wp:inline distT="0" distB="0" distL="0" distR="0">
          <wp:extent cx="2240280" cy="1584960"/>
          <wp:effectExtent l="19050" t="0" r="7620" b="0"/>
          <wp:docPr id="1" name="Imagen 1" descr="C:\Users\Alfredo\Desktop\URÍA\ABOGADOS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lfredo\Desktop\URÍA\ABOGADOS 3.tif"/>
                  <pic:cNvPicPr>
                    <a:picLocks noChangeAspect="1" noChangeArrowheads="1"/>
                  </pic:cNvPicPr>
                </pic:nvPicPr>
                <pic:blipFill>
                  <a:blip r:embed="rId2"/>
                  <a:srcRect/>
                  <a:stretch>
                    <a:fillRect/>
                  </a:stretch>
                </pic:blipFill>
                <pic:spPr bwMode="auto">
                  <a:xfrm>
                    <a:off x="0" y="0"/>
                    <a:ext cx="2240280" cy="1584960"/>
                  </a:xfrm>
                  <a:prstGeom prst="rect">
                    <a:avLst/>
                  </a:prstGeom>
                  <a:noFill/>
                  <a:ln w="9525">
                    <a:noFill/>
                    <a:miter lim="800000"/>
                    <a:headEnd/>
                    <a:tailEnd/>
                  </a:ln>
                </pic:spPr>
              </pic:pic>
            </a:graphicData>
          </a:graphic>
        </wp:inline>
      </w:drawing>
    </w:r>
  </w:p>
  <w:p w:rsidR="00247F1A" w:rsidRDefault="00142864" w:rsidP="000C47AE">
    <w:pPr>
      <w:pStyle w:val="Encabezado"/>
      <w:jc w:val="center"/>
    </w:pPr>
    <w:r>
      <w:rPr>
        <w:noProof/>
      </w:rPr>
      <w:drawing>
        <wp:inline distT="0" distB="0" distL="0" distR="0">
          <wp:extent cx="10683240" cy="7559040"/>
          <wp:effectExtent l="19050" t="0" r="3810" b="0"/>
          <wp:docPr id="2" name="Imagen 2" descr="ABOGADO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GADOS 3"/>
                  <pic:cNvPicPr>
                    <a:picLocks noChangeAspect="1" noChangeArrowheads="1"/>
                  </pic:cNvPicPr>
                </pic:nvPicPr>
                <pic:blipFill>
                  <a:blip r:embed="rId2"/>
                  <a:srcRect/>
                  <a:stretch>
                    <a:fillRect/>
                  </a:stretch>
                </pic:blipFill>
                <pic:spPr bwMode="auto">
                  <a:xfrm>
                    <a:off x="0" y="0"/>
                    <a:ext cx="10683240" cy="7559040"/>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15F9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5" o:spid="_x0000_s2052" type="#_x0000_t75" style="position:absolute;margin-left:0;margin-top:0;width:424.65pt;height:300.5pt;z-index:-251659776;mso-position-horizontal:center;mso-position-horizontal-relative:margin;mso-position-vertical:center;mso-position-vertical-relative:margin" o:allowincell="f">
          <v:imagedata r:id="rId1" o:title="ABOGADOS 3"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rsids>
    <w:rsidRoot w:val="001D7106"/>
    <w:rsid w:val="00000ABC"/>
    <w:rsid w:val="00005799"/>
    <w:rsid w:val="00017DA5"/>
    <w:rsid w:val="00042584"/>
    <w:rsid w:val="000677B4"/>
    <w:rsid w:val="00083E4E"/>
    <w:rsid w:val="000A1410"/>
    <w:rsid w:val="000C337E"/>
    <w:rsid w:val="000C47AE"/>
    <w:rsid w:val="000C4953"/>
    <w:rsid w:val="0010060C"/>
    <w:rsid w:val="0010178D"/>
    <w:rsid w:val="00142864"/>
    <w:rsid w:val="00157D56"/>
    <w:rsid w:val="00165508"/>
    <w:rsid w:val="001668AB"/>
    <w:rsid w:val="001743A2"/>
    <w:rsid w:val="001765E7"/>
    <w:rsid w:val="00176858"/>
    <w:rsid w:val="001829D4"/>
    <w:rsid w:val="001969A3"/>
    <w:rsid w:val="001D7106"/>
    <w:rsid w:val="001E0A4E"/>
    <w:rsid w:val="001F194A"/>
    <w:rsid w:val="00222D9D"/>
    <w:rsid w:val="00232DFC"/>
    <w:rsid w:val="00247F1A"/>
    <w:rsid w:val="00250B2A"/>
    <w:rsid w:val="00255846"/>
    <w:rsid w:val="00283E8B"/>
    <w:rsid w:val="00284FAC"/>
    <w:rsid w:val="002A2EE4"/>
    <w:rsid w:val="002A6352"/>
    <w:rsid w:val="002B268C"/>
    <w:rsid w:val="002C2243"/>
    <w:rsid w:val="002D2ED2"/>
    <w:rsid w:val="00323FC4"/>
    <w:rsid w:val="003311B4"/>
    <w:rsid w:val="00332F1F"/>
    <w:rsid w:val="00357DD2"/>
    <w:rsid w:val="0036668D"/>
    <w:rsid w:val="003B5346"/>
    <w:rsid w:val="003D1CE9"/>
    <w:rsid w:val="003D2248"/>
    <w:rsid w:val="003D3219"/>
    <w:rsid w:val="003E66C1"/>
    <w:rsid w:val="003E7310"/>
    <w:rsid w:val="00403FB6"/>
    <w:rsid w:val="004069A0"/>
    <w:rsid w:val="004310CD"/>
    <w:rsid w:val="0044211B"/>
    <w:rsid w:val="00447B6D"/>
    <w:rsid w:val="00464DB2"/>
    <w:rsid w:val="0048064B"/>
    <w:rsid w:val="0048268F"/>
    <w:rsid w:val="0048734A"/>
    <w:rsid w:val="004A2021"/>
    <w:rsid w:val="004A30E8"/>
    <w:rsid w:val="004D4741"/>
    <w:rsid w:val="0053024F"/>
    <w:rsid w:val="005310EF"/>
    <w:rsid w:val="005314CC"/>
    <w:rsid w:val="00573B2A"/>
    <w:rsid w:val="00586A96"/>
    <w:rsid w:val="00586F33"/>
    <w:rsid w:val="00595E1F"/>
    <w:rsid w:val="005B364E"/>
    <w:rsid w:val="005C19B9"/>
    <w:rsid w:val="005F7C83"/>
    <w:rsid w:val="006949F3"/>
    <w:rsid w:val="006E73A1"/>
    <w:rsid w:val="00701F10"/>
    <w:rsid w:val="0072781A"/>
    <w:rsid w:val="00731EBB"/>
    <w:rsid w:val="00741184"/>
    <w:rsid w:val="007419EB"/>
    <w:rsid w:val="00772E66"/>
    <w:rsid w:val="007C19D7"/>
    <w:rsid w:val="007C312B"/>
    <w:rsid w:val="008343D7"/>
    <w:rsid w:val="00855496"/>
    <w:rsid w:val="00886FB9"/>
    <w:rsid w:val="00890667"/>
    <w:rsid w:val="008A7198"/>
    <w:rsid w:val="008E5790"/>
    <w:rsid w:val="008E7057"/>
    <w:rsid w:val="008F4096"/>
    <w:rsid w:val="00911495"/>
    <w:rsid w:val="00911FEA"/>
    <w:rsid w:val="00915F92"/>
    <w:rsid w:val="009227EE"/>
    <w:rsid w:val="0093723D"/>
    <w:rsid w:val="009422B8"/>
    <w:rsid w:val="009729A2"/>
    <w:rsid w:val="009B6BE2"/>
    <w:rsid w:val="009C162D"/>
    <w:rsid w:val="009C6D7B"/>
    <w:rsid w:val="009D4D4D"/>
    <w:rsid w:val="009F333D"/>
    <w:rsid w:val="00A14E96"/>
    <w:rsid w:val="00A3314E"/>
    <w:rsid w:val="00A47C90"/>
    <w:rsid w:val="00A96FFE"/>
    <w:rsid w:val="00AF0E4C"/>
    <w:rsid w:val="00B00F10"/>
    <w:rsid w:val="00B12964"/>
    <w:rsid w:val="00B66667"/>
    <w:rsid w:val="00BB37AC"/>
    <w:rsid w:val="00BC65E7"/>
    <w:rsid w:val="00BC7020"/>
    <w:rsid w:val="00C06DF8"/>
    <w:rsid w:val="00C12F38"/>
    <w:rsid w:val="00C23C6B"/>
    <w:rsid w:val="00C255CE"/>
    <w:rsid w:val="00C512FC"/>
    <w:rsid w:val="00C65388"/>
    <w:rsid w:val="00CA103B"/>
    <w:rsid w:val="00CA7482"/>
    <w:rsid w:val="00CC4A28"/>
    <w:rsid w:val="00CD0F80"/>
    <w:rsid w:val="00D07FF9"/>
    <w:rsid w:val="00D20FA5"/>
    <w:rsid w:val="00D32F25"/>
    <w:rsid w:val="00D44DD9"/>
    <w:rsid w:val="00D549E0"/>
    <w:rsid w:val="00D557E5"/>
    <w:rsid w:val="00D60A2F"/>
    <w:rsid w:val="00D83636"/>
    <w:rsid w:val="00D840C3"/>
    <w:rsid w:val="00DA5CEF"/>
    <w:rsid w:val="00DC1095"/>
    <w:rsid w:val="00DC1455"/>
    <w:rsid w:val="00DD1B7E"/>
    <w:rsid w:val="00DF2C68"/>
    <w:rsid w:val="00E03FAA"/>
    <w:rsid w:val="00E116DF"/>
    <w:rsid w:val="00E123C5"/>
    <w:rsid w:val="00E73769"/>
    <w:rsid w:val="00E803DC"/>
    <w:rsid w:val="00EA76F3"/>
    <w:rsid w:val="00EB32D4"/>
    <w:rsid w:val="00EB47E7"/>
    <w:rsid w:val="00EB5DEB"/>
    <w:rsid w:val="00EC65E3"/>
    <w:rsid w:val="00EF3860"/>
    <w:rsid w:val="00EF669D"/>
    <w:rsid w:val="00F361D2"/>
    <w:rsid w:val="00F50A25"/>
    <w:rsid w:val="00F50D86"/>
    <w:rsid w:val="00F76C6A"/>
    <w:rsid w:val="00FA6BB4"/>
    <w:rsid w:val="00FB7FAE"/>
    <w:rsid w:val="00FE78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D4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styleId="nfasis">
    <w:name w:val="Emphasis"/>
    <w:qFormat/>
    <w:rsid w:val="003D3219"/>
    <w:rPr>
      <w:i/>
      <w:iCs/>
    </w:rPr>
  </w:style>
  <w:style w:type="paragraph" w:styleId="NormalWeb">
    <w:name w:val="Normal (Web)"/>
    <w:basedOn w:val="Normal"/>
    <w:unhideWhenUsed/>
    <w:rsid w:val="003D321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9C98D-8A9F-4702-8875-D53CDB339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552</Words>
  <Characters>3036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4</cp:revision>
  <cp:lastPrinted>2011-09-06T19:44:00Z</cp:lastPrinted>
  <dcterms:created xsi:type="dcterms:W3CDTF">2017-12-02T02:53:00Z</dcterms:created>
  <dcterms:modified xsi:type="dcterms:W3CDTF">2017-12-02T03:09:00Z</dcterms:modified>
</cp:coreProperties>
</file>