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58" w:rsidRPr="002775F4" w:rsidRDefault="00144058" w:rsidP="00144058">
      <w:pPr>
        <w:shd w:val="clear" w:color="auto" w:fill="FFFFFF"/>
        <w:spacing w:before="240" w:after="240" w:line="360" w:lineRule="auto"/>
        <w:jc w:val="both"/>
        <w:outlineLvl w:val="0"/>
        <w:rPr>
          <w:rFonts w:ascii="Arial" w:hAnsi="Arial" w:cs="Arial"/>
        </w:rPr>
      </w:pPr>
      <w:r w:rsidRPr="00144058">
        <w:rPr>
          <w:rFonts w:ascii="Arial" w:hAnsi="Arial" w:cs="Arial"/>
          <w:b/>
          <w:spacing w:val="-12"/>
          <w:kern w:val="36"/>
        </w:rPr>
        <w:t>Un juez absuelve a una madre de un delito de lesiones por dar una bofetada a su hijo</w:t>
      </w:r>
      <w:r>
        <w:rPr>
          <w:rFonts w:ascii="Arial" w:hAnsi="Arial" w:cs="Arial"/>
          <w:spacing w:val="-12"/>
          <w:kern w:val="36"/>
        </w:rPr>
        <w:t xml:space="preserve">. </w:t>
      </w:r>
      <w:r w:rsidRPr="002775F4">
        <w:rPr>
          <w:rFonts w:ascii="Arial" w:hAnsi="Arial" w:cs="Arial"/>
        </w:rPr>
        <w:t>El Juzgado de lo Penal número 2 de A Coruña absuelve a una madre que había sido acusada de dos delitos de lesiones leves en el ámbito familiar por haber dado un bofetón a un hijo de once años y haberle arañado en el cuello para evitar que el menor se marchase de casa.</w:t>
      </w:r>
    </w:p>
    <w:p w:rsidR="00144058" w:rsidRPr="002775F4" w:rsidRDefault="00144058" w:rsidP="00144058">
      <w:pPr>
        <w:spacing w:after="126" w:line="360" w:lineRule="auto"/>
        <w:jc w:val="both"/>
        <w:rPr>
          <w:rFonts w:ascii="Arial" w:hAnsi="Arial" w:cs="Arial"/>
        </w:rPr>
      </w:pPr>
      <w:r w:rsidRPr="002775F4">
        <w:rPr>
          <w:rFonts w:ascii="Arial" w:hAnsi="Arial" w:cs="Arial"/>
        </w:rPr>
        <w:t>En su sentencia (</w:t>
      </w:r>
      <w:r w:rsidRPr="002775F4">
        <w:rPr>
          <w:rFonts w:ascii="Arial" w:hAnsi="Arial" w:cs="Arial"/>
          <w:bCs/>
        </w:rPr>
        <w:t>nº 241/2017, de 30 de junio</w:t>
      </w:r>
      <w:r w:rsidRPr="002775F4">
        <w:rPr>
          <w:rFonts w:ascii="Arial" w:hAnsi="Arial" w:cs="Arial"/>
        </w:rPr>
        <w:t>) el magistrado entiende que el comportamiento del chico, al negarse a obedecer a su madre y al arrojar al suelo un móvil, “no solo muestra </w:t>
      </w:r>
      <w:r w:rsidRPr="002775F4">
        <w:rPr>
          <w:rFonts w:ascii="Arial" w:hAnsi="Arial" w:cs="Arial"/>
          <w:bCs/>
        </w:rPr>
        <w:t>desprecio hacia la autoridad materna</w:t>
      </w:r>
      <w:r w:rsidRPr="002775F4">
        <w:rPr>
          <w:rFonts w:ascii="Arial" w:hAnsi="Arial" w:cs="Arial"/>
        </w:rPr>
        <w:t>, sino también hacia el esfuerzo y trabajo que supone ganar un salario con el que adquirir bienes”. Y además incurre en el acto de violencia que supone arrojar el teléfono. No estamos ante una discusión de razonamientos en la que se pueda intentar argumentar contra los razonamientos del contrario. Estamos ante una clara exhibición por parte del menor de una actitud de “síndrome de emperador” que únicamente busca humillar y despreciar a su madre”.</w:t>
      </w:r>
    </w:p>
    <w:p w:rsidR="00144058" w:rsidRPr="002775F4" w:rsidRDefault="00144058" w:rsidP="00144058">
      <w:pPr>
        <w:spacing w:after="126" w:line="360" w:lineRule="auto"/>
        <w:jc w:val="both"/>
        <w:rPr>
          <w:rFonts w:ascii="Arial" w:hAnsi="Arial" w:cs="Arial"/>
        </w:rPr>
      </w:pPr>
      <w:r w:rsidRPr="002775F4">
        <w:rPr>
          <w:rFonts w:ascii="Arial" w:hAnsi="Arial" w:cs="Arial"/>
        </w:rPr>
        <w:t>El </w:t>
      </w:r>
      <w:r w:rsidRPr="002775F4">
        <w:rPr>
          <w:rFonts w:ascii="Arial" w:hAnsi="Arial" w:cs="Arial"/>
          <w:bCs/>
        </w:rPr>
        <w:t>relato de los hechos</w:t>
      </w:r>
      <w:r w:rsidRPr="002775F4">
        <w:rPr>
          <w:rFonts w:ascii="Arial" w:hAnsi="Arial" w:cs="Arial"/>
        </w:rPr>
        <w:t> indica que "como quiera que el menor hacía caso omiso a sus indicaciones de que colaborase poniendo el desayuno, pues permanecía escuchando música, y debido a que no solo no obedeció sino que llegó a arrojar el teléfono, sin que quedase claro si fue con intención de tirarlo o de lesionar a la acusada, a fin de que depusiese su actitud rebelde y violenta, le dio un bofetón muy fuerte a la altura del pómulo izquierdo". Luego, más tarde, con posterioridad a una nueva discusión entre madre e hijo, cuando su hijo se pretendía ir de casa, la acusada intentó evitar que el pequeño saliese de casa, para lo cual le agarró por la parte posterior del cuello, causándole un arañazo".</w:t>
      </w:r>
    </w:p>
    <w:p w:rsidR="00144058" w:rsidRPr="002775F4" w:rsidRDefault="00144058" w:rsidP="00144058">
      <w:pPr>
        <w:spacing w:after="126" w:line="360" w:lineRule="auto"/>
        <w:jc w:val="both"/>
        <w:rPr>
          <w:rFonts w:ascii="Arial" w:hAnsi="Arial" w:cs="Arial"/>
        </w:rPr>
      </w:pPr>
      <w:r w:rsidRPr="002775F4">
        <w:rPr>
          <w:rFonts w:ascii="Arial" w:hAnsi="Arial" w:cs="Arial"/>
        </w:rPr>
        <w:t>Con respecto al segundo incidente, cuando la mujer sujeta al menor para evitar que se vaya de casa, sostiene la sentencia que “no solo está totalmente justificado que la acusada trate de evitar que su hijo salga de casa. Es que no existe la más mínima intencionalidad de la acusada en lesionar a su hijo, solo de agarrarlo”.</w:t>
      </w:r>
    </w:p>
    <w:p w:rsidR="00144058" w:rsidRPr="002775F4" w:rsidRDefault="00144058" w:rsidP="00144058">
      <w:pPr>
        <w:spacing w:line="360" w:lineRule="auto"/>
        <w:jc w:val="both"/>
        <w:rPr>
          <w:rFonts w:ascii="Arial" w:hAnsi="Arial" w:cs="Arial"/>
        </w:rPr>
      </w:pPr>
    </w:p>
    <w:p w:rsidR="00FB6FB9" w:rsidRPr="003F67E5" w:rsidRDefault="00FB6FB9" w:rsidP="00144058">
      <w:pPr>
        <w:spacing w:line="360" w:lineRule="auto"/>
        <w:jc w:val="both"/>
        <w:rPr>
          <w:rFonts w:ascii="Arial" w:hAnsi="Arial" w:cs="Arial"/>
        </w:rPr>
      </w:pPr>
    </w:p>
    <w:p w:rsidR="00D02291" w:rsidRPr="007F5563" w:rsidRDefault="00D02291" w:rsidP="00144058">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076" w:rsidRDefault="005A1076">
      <w:r>
        <w:separator/>
      </w:r>
    </w:p>
  </w:endnote>
  <w:endnote w:type="continuationSeparator" w:id="0">
    <w:p w:rsidR="005A1076" w:rsidRDefault="005A107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C085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C085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144058">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076" w:rsidRDefault="005A1076">
      <w:r>
        <w:separator/>
      </w:r>
    </w:p>
  </w:footnote>
  <w:footnote w:type="continuationSeparator" w:id="0">
    <w:p w:rsidR="005A1076" w:rsidRDefault="005A1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C08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C0853"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C08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314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058"/>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07B71"/>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A1076"/>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1160"/>
    <w:rsid w:val="007B3BCE"/>
    <w:rsid w:val="007C0853"/>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6FB9"/>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CF87E-10EC-4B97-B5D8-F14E3834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2053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2017-07-28T08:08:00Z</dcterms:created>
  <dcterms:modified xsi:type="dcterms:W3CDTF">2017-07-28T08:08:00Z</dcterms:modified>
</cp:coreProperties>
</file>