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0F" w:rsidRPr="0094720F" w:rsidRDefault="0094720F" w:rsidP="0094720F">
      <w:pPr>
        <w:shd w:val="clear" w:color="auto" w:fill="FFFFFF"/>
        <w:spacing w:after="240" w:line="360" w:lineRule="auto"/>
        <w:jc w:val="both"/>
        <w:textAlignment w:val="baseline"/>
        <w:outlineLvl w:val="0"/>
        <w:rPr>
          <w:rFonts w:ascii="Arial" w:hAnsi="Arial" w:cs="Arial"/>
          <w:spacing w:val="-12"/>
          <w:kern w:val="36"/>
        </w:rPr>
      </w:pPr>
      <w:r w:rsidRPr="0094720F">
        <w:rPr>
          <w:rFonts w:ascii="Arial" w:hAnsi="Arial" w:cs="Arial"/>
          <w:b/>
          <w:spacing w:val="-12"/>
          <w:kern w:val="36"/>
        </w:rPr>
        <w:t>Los bancos deben pagar las costas de los juicios por cláusulas suelo en las dos primeras instancias</w:t>
      </w:r>
      <w:r>
        <w:rPr>
          <w:rFonts w:ascii="Arial" w:hAnsi="Arial" w:cs="Arial"/>
          <w:spacing w:val="-12"/>
          <w:kern w:val="36"/>
        </w:rPr>
        <w:t xml:space="preserve">. </w:t>
      </w:r>
      <w:r w:rsidRPr="006D620B">
        <w:rPr>
          <w:rFonts w:ascii="Arial" w:hAnsi="Arial" w:cs="Arial"/>
        </w:rPr>
        <w:t>Los bancos condenados por cláusulas suelo abusivas deben pagar las costas judiciales de las dos primeras instancias, según establece como criterio general la Sala de lo Civil del Tribunal Supremo, en una sentencia de 4 de julio de 2017.</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 xml:space="preserve">La Sala Primera del Tribunal Supremo, reunida en Pleno, se ha pronunciado por primera vez sobre la imposición de costas de las instancias anteriores, tras la estimación del recurso de casación interpuesto por un particular, con la consiguiente obligación de restitución de la totalidad de las cantidades cobradas de más en virtud de la cláusula suelo declarada nula, con completo efecto retroactivo, tras ajustar la sala su doctrina a la del </w:t>
      </w:r>
      <w:proofErr w:type="spellStart"/>
      <w:r w:rsidRPr="006D620B">
        <w:rPr>
          <w:rFonts w:ascii="Arial" w:hAnsi="Arial" w:cs="Arial"/>
        </w:rPr>
        <w:t>TJUE</w:t>
      </w:r>
      <w:proofErr w:type="spellEnd"/>
      <w:r w:rsidRPr="006D620B">
        <w:rPr>
          <w:rFonts w:ascii="Arial" w:hAnsi="Arial" w:cs="Arial"/>
        </w:rPr>
        <w:t>.</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 xml:space="preserve">El ponente, el magistrado Marín </w:t>
      </w:r>
      <w:proofErr w:type="spellStart"/>
      <w:r w:rsidRPr="006D620B">
        <w:rPr>
          <w:rFonts w:ascii="Arial" w:hAnsi="Arial" w:cs="Arial"/>
        </w:rPr>
        <w:t>Castán</w:t>
      </w:r>
      <w:proofErr w:type="spellEnd"/>
      <w:r w:rsidRPr="006D620B">
        <w:rPr>
          <w:rFonts w:ascii="Arial" w:hAnsi="Arial" w:cs="Arial"/>
        </w:rPr>
        <w:t xml:space="preserve">, aborda la cuestión de la imposición de costas sustancialmente desde el principio de efectividad, toda vez que el cambio de jurisprudencia de la sala se basa esencialmente en el pronunciamiento de la </w:t>
      </w:r>
      <w:proofErr w:type="spellStart"/>
      <w:r w:rsidRPr="006D620B">
        <w:rPr>
          <w:rFonts w:ascii="Arial" w:hAnsi="Arial" w:cs="Arial"/>
        </w:rPr>
        <w:t>STJUE</w:t>
      </w:r>
      <w:proofErr w:type="spellEnd"/>
      <w:r w:rsidRPr="006D620B">
        <w:rPr>
          <w:rFonts w:ascii="Arial" w:hAnsi="Arial" w:cs="Arial"/>
        </w:rPr>
        <w:t xml:space="preserve"> de 21 de diciembre de 2016 -Gutiérrez Naranjo-, que a su vez se funda en el derecho de los consumidores a no estar vinculados por una cláusula abusiva.</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La norma general en la imposición de costas es el principio de vencimiento, de modo que la no imposición de costas al banco demandado supondría en este caso la aplicación de una salvedad a dicho principio en perjuicio del consumidor. Si el consumidor, a pesar de vencer el litigio, tuviera que pagar sus gastos en las instancias, se produciría un efecto disuasorio inverso, para que los consumidores no promovieran litigios por cantidades moderadas.</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 xml:space="preserve">Además, la actividad procesal del banco demandado pretendió, más allá de invocar a su favor la anterior doctrina jurisprudencial, intentar su suspensión por </w:t>
      </w:r>
      <w:proofErr w:type="spellStart"/>
      <w:r w:rsidRPr="006D620B">
        <w:rPr>
          <w:rFonts w:ascii="Arial" w:hAnsi="Arial" w:cs="Arial"/>
        </w:rPr>
        <w:t>prejudicialidad</w:t>
      </w:r>
      <w:proofErr w:type="spellEnd"/>
      <w:r w:rsidRPr="006D620B">
        <w:rPr>
          <w:rFonts w:ascii="Arial" w:hAnsi="Arial" w:cs="Arial"/>
        </w:rPr>
        <w:t xml:space="preserve"> civil, negar por completo la obligación de restitución, y </w:t>
      </w:r>
      <w:r w:rsidRPr="006D620B">
        <w:rPr>
          <w:rFonts w:ascii="Arial" w:hAnsi="Arial" w:cs="Arial"/>
        </w:rPr>
        <w:lastRenderedPageBreak/>
        <w:t xml:space="preserve">oponerse a la admisión antes y después de tener conocimiento del contenido de la </w:t>
      </w:r>
      <w:proofErr w:type="spellStart"/>
      <w:r w:rsidRPr="006D620B">
        <w:rPr>
          <w:rFonts w:ascii="Arial" w:hAnsi="Arial" w:cs="Arial"/>
        </w:rPr>
        <w:t>STJUE</w:t>
      </w:r>
      <w:proofErr w:type="spellEnd"/>
      <w:r w:rsidRPr="006D620B">
        <w:rPr>
          <w:rFonts w:ascii="Arial" w:hAnsi="Arial" w:cs="Arial"/>
        </w:rPr>
        <w:t xml:space="preserve"> de 21 de diciembre de 2016.</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La sentencia cuenta con el voto particular de tres magistrados -</w:t>
      </w:r>
      <w:proofErr w:type="spellStart"/>
      <w:r w:rsidRPr="006D620B">
        <w:rPr>
          <w:rFonts w:ascii="Arial" w:hAnsi="Arial" w:cs="Arial"/>
        </w:rPr>
        <w:t>Seijas</w:t>
      </w:r>
      <w:proofErr w:type="spellEnd"/>
      <w:r w:rsidRPr="006D620B">
        <w:rPr>
          <w:rFonts w:ascii="Arial" w:hAnsi="Arial" w:cs="Arial"/>
        </w:rPr>
        <w:t xml:space="preserve"> Quintana, Sancho Gargallo y Baena Ruiz-, fundado en el cambio sobrevenido de jurisprudencia y las serias dudas de hecho o de derecho que ello ha producido, así como en la ausencia de afectación del principio de efectividad.</w:t>
      </w:r>
    </w:p>
    <w:p w:rsidR="0094720F" w:rsidRPr="006D620B" w:rsidRDefault="0094720F" w:rsidP="0094720F">
      <w:pPr>
        <w:shd w:val="clear" w:color="auto" w:fill="FFFFFF"/>
        <w:spacing w:after="240" w:line="360" w:lineRule="auto"/>
        <w:jc w:val="both"/>
        <w:textAlignment w:val="baseline"/>
        <w:rPr>
          <w:rFonts w:ascii="Arial" w:hAnsi="Arial" w:cs="Arial"/>
        </w:rPr>
      </w:pPr>
      <w:r w:rsidRPr="006D620B">
        <w:rPr>
          <w:rFonts w:ascii="Arial" w:hAnsi="Arial" w:cs="Arial"/>
        </w:rPr>
        <w:t>Señalan los magistrados que "cuando existe un cambio sobrevenido de jurisprudencia, el propio Tribunal Supremo lo ha considerado un factor a tener en cuenta para resolver sobre las costas".</w:t>
      </w:r>
    </w:p>
    <w:p w:rsidR="0094720F" w:rsidRPr="006D620B" w:rsidRDefault="0094720F" w:rsidP="0094720F">
      <w:pPr>
        <w:spacing w:line="360" w:lineRule="auto"/>
        <w:jc w:val="both"/>
        <w:rPr>
          <w:rFonts w:ascii="Arial" w:hAnsi="Arial" w:cs="Arial"/>
        </w:rPr>
      </w:pPr>
    </w:p>
    <w:p w:rsidR="00FB6FB9" w:rsidRPr="003F67E5" w:rsidRDefault="00FB6FB9" w:rsidP="0094720F">
      <w:pPr>
        <w:spacing w:line="360" w:lineRule="auto"/>
        <w:jc w:val="both"/>
        <w:rPr>
          <w:rFonts w:ascii="Arial" w:hAnsi="Arial" w:cs="Arial"/>
        </w:rPr>
      </w:pPr>
    </w:p>
    <w:p w:rsidR="00D02291" w:rsidRPr="007F5563" w:rsidRDefault="00D02291" w:rsidP="0094720F">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0F6" w:rsidRDefault="006120F6">
      <w:r>
        <w:separator/>
      </w:r>
    </w:p>
  </w:endnote>
  <w:endnote w:type="continuationSeparator" w:id="0">
    <w:p w:rsidR="006120F6" w:rsidRDefault="006120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035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035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4720F">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0F6" w:rsidRDefault="006120F6">
      <w:r>
        <w:separator/>
      </w:r>
    </w:p>
  </w:footnote>
  <w:footnote w:type="continuationSeparator" w:id="0">
    <w:p w:rsidR="006120F6" w:rsidRDefault="00612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03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035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503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120F6"/>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20F"/>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351"/>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AB11-C746-433E-B526-17ACAB4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2463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2017-07-28T08:03:00Z</dcterms:created>
  <dcterms:modified xsi:type="dcterms:W3CDTF">2017-07-28T08:03:00Z</dcterms:modified>
</cp:coreProperties>
</file>