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C5E" w:rsidRPr="007C5687" w:rsidRDefault="000E7C5E" w:rsidP="000E7C5E">
      <w:pPr>
        <w:pStyle w:val="Style1"/>
        <w:tabs>
          <w:tab w:val="right" w:pos="10854"/>
        </w:tabs>
        <w:kinsoku w:val="0"/>
        <w:autoSpaceDE/>
        <w:autoSpaceDN/>
        <w:adjustRightInd/>
        <w:spacing w:line="360" w:lineRule="auto"/>
        <w:rPr>
          <w:rStyle w:val="CharacterStyle2"/>
          <w:rFonts w:ascii="Arial" w:hAnsi="Arial" w:cs="Arial"/>
          <w:sz w:val="24"/>
          <w:szCs w:val="24"/>
        </w:rPr>
      </w:pPr>
      <w:r w:rsidRPr="000E7C5E">
        <w:rPr>
          <w:rFonts w:ascii="Arial" w:hAnsi="Arial" w:cs="Arial"/>
          <w:b/>
          <w:noProof/>
          <w:sz w:val="24"/>
          <w:szCs w:val="24"/>
        </w:rPr>
        <w:pict>
          <v:shapetype id="_x0000_t202" coordsize="21600,21600" o:spt="202" path="m,l,21600r21600,l21600,xe">
            <v:stroke joinstyle="miter"/>
            <v:path gradientshapeok="t" o:connecttype="rect"/>
          </v:shapetype>
          <v:shape id="_x0000_s1026" type="#_x0000_t202" style="position:absolute;margin-left:0;margin-top:777.6pt;width:543pt;height:9.6pt;z-index:251660288;mso-wrap-edited:f;mso-wrap-distance-left:0;mso-wrap-distance-right:0" wrapcoords="-62 0 -62 21600 21662 21600 21662 0 -62 0" o:allowincell="f" stroked="f">
            <v:fill opacity="0"/>
            <v:textbox inset="0,0,0,0">
              <w:txbxContent>
                <w:p w:rsidR="000E7C5E" w:rsidRDefault="000E7C5E" w:rsidP="000E7C5E">
                  <w:pPr>
                    <w:pStyle w:val="Style1"/>
                    <w:kinsoku w:val="0"/>
                    <w:autoSpaceDE/>
                    <w:autoSpaceDN/>
                    <w:adjustRightInd/>
                    <w:spacing w:line="199" w:lineRule="auto"/>
                    <w:jc w:val="right"/>
                    <w:rPr>
                      <w:rStyle w:val="CharacterStyle2"/>
                      <w:rFonts w:ascii="Verdana" w:hAnsi="Verdana" w:cs="Verdana"/>
                      <w:w w:val="105"/>
                      <w:sz w:val="19"/>
                      <w:szCs w:val="19"/>
                    </w:rPr>
                  </w:pPr>
                  <w:r>
                    <w:rPr>
                      <w:rStyle w:val="CharacterStyle2"/>
                      <w:rFonts w:ascii="Verdana" w:hAnsi="Verdana" w:cs="Verdana"/>
                      <w:w w:val="105"/>
                      <w:sz w:val="19"/>
                      <w:szCs w:val="19"/>
                    </w:rPr>
                    <w:t>1/1</w:t>
                  </w:r>
                </w:p>
              </w:txbxContent>
            </v:textbox>
            <w10:wrap type="square"/>
          </v:shape>
        </w:pict>
      </w:r>
      <w:r w:rsidRPr="000E7C5E">
        <w:rPr>
          <w:rStyle w:val="CharacterStyle2"/>
          <w:rFonts w:ascii="Arial" w:hAnsi="Arial" w:cs="Arial"/>
          <w:b/>
          <w:bCs/>
          <w:spacing w:val="2"/>
          <w:sz w:val="24"/>
          <w:szCs w:val="24"/>
        </w:rPr>
        <w:t xml:space="preserve">El día inicial del plazo de prescripción de la acción de revocación de </w:t>
      </w:r>
      <w:r w:rsidRPr="000E7C5E">
        <w:rPr>
          <w:rStyle w:val="CharacterStyle2"/>
          <w:rFonts w:ascii="Arial" w:hAnsi="Arial" w:cs="Arial"/>
          <w:b/>
          <w:bCs/>
          <w:spacing w:val="1"/>
          <w:sz w:val="24"/>
          <w:szCs w:val="24"/>
        </w:rPr>
        <w:t>donación por ingratitud</w:t>
      </w:r>
      <w:r w:rsidRPr="007C5687">
        <w:rPr>
          <w:rStyle w:val="CharacterStyle2"/>
          <w:rFonts w:ascii="Arial" w:hAnsi="Arial" w:cs="Arial"/>
          <w:bCs/>
          <w:spacing w:val="1"/>
          <w:sz w:val="24"/>
          <w:szCs w:val="24"/>
        </w:rPr>
        <w:t>, por un delito cometido por el donatario</w:t>
      </w:r>
      <w:r>
        <w:rPr>
          <w:rStyle w:val="CharacterStyle2"/>
          <w:rFonts w:ascii="Arial" w:hAnsi="Arial" w:cs="Arial"/>
          <w:bCs/>
          <w:spacing w:val="1"/>
          <w:sz w:val="24"/>
          <w:szCs w:val="24"/>
        </w:rPr>
        <w:t xml:space="preserve"> </w:t>
      </w:r>
      <w:r w:rsidRPr="007C5687">
        <w:rPr>
          <w:rStyle w:val="CharacterStyle2"/>
          <w:rFonts w:ascii="Arial" w:hAnsi="Arial" w:cs="Arial"/>
          <w:bCs/>
          <w:spacing w:val="12"/>
          <w:sz w:val="24"/>
          <w:szCs w:val="24"/>
        </w:rPr>
        <w:t>contra el donante</w:t>
      </w:r>
      <w:r>
        <w:rPr>
          <w:rStyle w:val="CharacterStyle2"/>
          <w:rFonts w:ascii="Arial" w:hAnsi="Arial" w:cs="Arial"/>
          <w:bCs/>
          <w:spacing w:val="12"/>
          <w:sz w:val="24"/>
          <w:szCs w:val="24"/>
        </w:rPr>
        <w:t xml:space="preserve">. </w:t>
      </w:r>
    </w:p>
    <w:p w:rsidR="000E7C5E" w:rsidRDefault="000E7C5E" w:rsidP="000E7C5E">
      <w:pPr>
        <w:pStyle w:val="Style1"/>
        <w:kinsoku w:val="0"/>
        <w:autoSpaceDE/>
        <w:autoSpaceDN/>
        <w:adjustRightInd/>
        <w:spacing w:before="540" w:line="360" w:lineRule="auto"/>
        <w:ind w:right="216"/>
        <w:jc w:val="both"/>
        <w:rPr>
          <w:rStyle w:val="CharacterStyle2"/>
          <w:rFonts w:ascii="Arial" w:hAnsi="Arial" w:cs="Arial"/>
          <w:spacing w:val="16"/>
          <w:w w:val="105"/>
          <w:sz w:val="24"/>
          <w:szCs w:val="24"/>
        </w:rPr>
      </w:pPr>
      <w:r w:rsidRPr="007C5687">
        <w:rPr>
          <w:rStyle w:val="CharacterStyle2"/>
          <w:rFonts w:ascii="Arial" w:hAnsi="Arial" w:cs="Arial"/>
          <w:spacing w:val="14"/>
          <w:w w:val="105"/>
          <w:sz w:val="24"/>
          <w:szCs w:val="24"/>
        </w:rPr>
        <w:t xml:space="preserve">El plazo ha de contarse desde el día en que el donante conoció la firmeza de la sentencia </w:t>
      </w:r>
      <w:r w:rsidRPr="007C5687">
        <w:rPr>
          <w:rStyle w:val="CharacterStyle2"/>
          <w:rFonts w:ascii="Arial" w:hAnsi="Arial" w:cs="Arial"/>
          <w:spacing w:val="4"/>
          <w:w w:val="105"/>
          <w:sz w:val="24"/>
          <w:szCs w:val="24"/>
        </w:rPr>
        <w:t>condenatoria penal. Dado el carácter ganancial del bien donado, la revocación del consentimiento prestado por uno de los cónyuges conlleva la ineficacia de la donación misma.</w:t>
      </w:r>
      <w:r>
        <w:rPr>
          <w:rStyle w:val="CharacterStyle2"/>
          <w:rFonts w:ascii="Arial" w:hAnsi="Arial" w:cs="Arial"/>
          <w:spacing w:val="4"/>
          <w:w w:val="105"/>
          <w:sz w:val="24"/>
          <w:szCs w:val="24"/>
        </w:rPr>
        <w:t xml:space="preserve"> </w:t>
      </w:r>
      <w:r w:rsidRPr="007C5687">
        <w:rPr>
          <w:rStyle w:val="CharacterStyle2"/>
          <w:rFonts w:ascii="Arial" w:hAnsi="Arial" w:cs="Arial"/>
          <w:spacing w:val="16"/>
          <w:w w:val="105"/>
          <w:sz w:val="24"/>
          <w:szCs w:val="24"/>
        </w:rPr>
        <w:t>Audiencia Provincial Las Palmas, Sentencia 211/2016, 16 Jun. Recurso 21/2015</w:t>
      </w:r>
      <w:r>
        <w:rPr>
          <w:rStyle w:val="CharacterStyle2"/>
          <w:rFonts w:ascii="Arial" w:hAnsi="Arial" w:cs="Arial"/>
          <w:spacing w:val="16"/>
          <w:w w:val="105"/>
          <w:sz w:val="24"/>
          <w:szCs w:val="24"/>
        </w:rPr>
        <w:t>.</w:t>
      </w:r>
    </w:p>
    <w:p w:rsidR="000E7C5E" w:rsidRPr="007C5687" w:rsidRDefault="000E7C5E" w:rsidP="000E7C5E">
      <w:pPr>
        <w:pStyle w:val="Style1"/>
        <w:kinsoku w:val="0"/>
        <w:autoSpaceDE/>
        <w:autoSpaceDN/>
        <w:adjustRightInd/>
        <w:spacing w:before="540" w:line="360" w:lineRule="auto"/>
        <w:ind w:right="216"/>
        <w:jc w:val="both"/>
        <w:rPr>
          <w:rStyle w:val="CharacterStyle2"/>
          <w:rFonts w:ascii="Arial" w:hAnsi="Arial" w:cs="Arial"/>
          <w:spacing w:val="4"/>
          <w:w w:val="105"/>
          <w:sz w:val="24"/>
          <w:szCs w:val="24"/>
        </w:rPr>
      </w:pPr>
      <w:r w:rsidRPr="007C5687">
        <w:rPr>
          <w:rStyle w:val="CharacterStyle2"/>
          <w:rFonts w:ascii="Arial" w:hAnsi="Arial" w:cs="Arial"/>
          <w:spacing w:val="16"/>
          <w:w w:val="105"/>
          <w:sz w:val="24"/>
          <w:szCs w:val="24"/>
        </w:rPr>
        <w:t xml:space="preserve"> </w:t>
      </w:r>
    </w:p>
    <w:p w:rsidR="000E7C5E" w:rsidRDefault="000E7C5E" w:rsidP="000E7C5E">
      <w:pPr>
        <w:pStyle w:val="Style1"/>
        <w:kinsoku w:val="0"/>
        <w:autoSpaceDE/>
        <w:autoSpaceDN/>
        <w:adjustRightInd/>
        <w:spacing w:before="72" w:line="360" w:lineRule="auto"/>
        <w:ind w:right="216"/>
        <w:rPr>
          <w:rStyle w:val="CharacterStyle2"/>
          <w:rFonts w:ascii="Arial" w:hAnsi="Arial" w:cs="Arial"/>
          <w:spacing w:val="3"/>
          <w:w w:val="105"/>
          <w:sz w:val="24"/>
          <w:szCs w:val="24"/>
        </w:rPr>
      </w:pPr>
      <w:r w:rsidRPr="007C5687">
        <w:rPr>
          <w:rStyle w:val="CharacterStyle2"/>
          <w:rFonts w:ascii="Arial" w:hAnsi="Arial" w:cs="Arial"/>
          <w:spacing w:val="1"/>
          <w:w w:val="105"/>
          <w:sz w:val="24"/>
          <w:szCs w:val="24"/>
        </w:rPr>
        <w:t xml:space="preserve">Se estima la acción revocatoria de la donación ejercitada por uno de los donantes por ingratitud del </w:t>
      </w:r>
      <w:r w:rsidRPr="007C5687">
        <w:rPr>
          <w:rStyle w:val="CharacterStyle2"/>
          <w:rFonts w:ascii="Arial" w:hAnsi="Arial" w:cs="Arial"/>
          <w:spacing w:val="3"/>
          <w:w w:val="105"/>
          <w:sz w:val="24"/>
          <w:szCs w:val="24"/>
        </w:rPr>
        <w:t>donatario, tras declararse que la misma no había prescrito.</w:t>
      </w:r>
    </w:p>
    <w:p w:rsidR="000E7C5E" w:rsidRPr="007C5687" w:rsidRDefault="000E7C5E" w:rsidP="000E7C5E">
      <w:pPr>
        <w:pStyle w:val="Style1"/>
        <w:kinsoku w:val="0"/>
        <w:autoSpaceDE/>
        <w:autoSpaceDN/>
        <w:adjustRightInd/>
        <w:spacing w:before="72" w:line="360" w:lineRule="auto"/>
        <w:ind w:right="216"/>
        <w:rPr>
          <w:rStyle w:val="CharacterStyle2"/>
          <w:rFonts w:ascii="Arial" w:hAnsi="Arial" w:cs="Arial"/>
          <w:spacing w:val="3"/>
          <w:w w:val="105"/>
          <w:sz w:val="24"/>
          <w:szCs w:val="24"/>
        </w:rPr>
      </w:pPr>
    </w:p>
    <w:p w:rsidR="000E7C5E" w:rsidRDefault="000E7C5E" w:rsidP="000E7C5E">
      <w:pPr>
        <w:pStyle w:val="Style1"/>
        <w:kinsoku w:val="0"/>
        <w:autoSpaceDE/>
        <w:autoSpaceDN/>
        <w:adjustRightInd/>
        <w:spacing w:before="108" w:line="360" w:lineRule="auto"/>
        <w:ind w:right="216"/>
        <w:rPr>
          <w:rStyle w:val="CharacterStyle2"/>
          <w:rFonts w:ascii="Arial" w:hAnsi="Arial" w:cs="Arial"/>
          <w:spacing w:val="2"/>
          <w:w w:val="105"/>
          <w:sz w:val="24"/>
          <w:szCs w:val="24"/>
        </w:rPr>
      </w:pPr>
      <w:r w:rsidRPr="007C5687">
        <w:rPr>
          <w:rStyle w:val="CharacterStyle2"/>
          <w:rFonts w:ascii="Arial" w:hAnsi="Arial" w:cs="Arial"/>
          <w:spacing w:val="6"/>
          <w:w w:val="105"/>
          <w:sz w:val="24"/>
          <w:szCs w:val="24"/>
        </w:rPr>
        <w:t xml:space="preserve">Alegando el demandado la prescripción de la acción, se cuestiona el día de inicio del cómputo del </w:t>
      </w:r>
      <w:r w:rsidRPr="007C5687">
        <w:rPr>
          <w:rStyle w:val="CharacterStyle2"/>
          <w:rFonts w:ascii="Arial" w:hAnsi="Arial" w:cs="Arial"/>
          <w:spacing w:val="2"/>
          <w:w w:val="105"/>
          <w:sz w:val="24"/>
          <w:szCs w:val="24"/>
        </w:rPr>
        <w:t>plazo para su ejercicio.</w:t>
      </w:r>
    </w:p>
    <w:p w:rsidR="000E7C5E" w:rsidRPr="007C5687" w:rsidRDefault="000E7C5E" w:rsidP="000E7C5E">
      <w:pPr>
        <w:pStyle w:val="Style1"/>
        <w:kinsoku w:val="0"/>
        <w:autoSpaceDE/>
        <w:autoSpaceDN/>
        <w:adjustRightInd/>
        <w:spacing w:before="108" w:line="360" w:lineRule="auto"/>
        <w:ind w:right="216"/>
        <w:rPr>
          <w:rStyle w:val="CharacterStyle2"/>
          <w:rFonts w:ascii="Arial" w:hAnsi="Arial" w:cs="Arial"/>
          <w:spacing w:val="2"/>
          <w:w w:val="105"/>
          <w:sz w:val="24"/>
          <w:szCs w:val="24"/>
        </w:rPr>
      </w:pPr>
    </w:p>
    <w:p w:rsidR="000E7C5E" w:rsidRDefault="000E7C5E" w:rsidP="000E7C5E">
      <w:pPr>
        <w:pStyle w:val="Style2"/>
        <w:kinsoku w:val="0"/>
        <w:autoSpaceDE/>
        <w:autoSpaceDN/>
        <w:spacing w:line="360" w:lineRule="auto"/>
        <w:rPr>
          <w:rStyle w:val="CharacterStyle1"/>
          <w:spacing w:val="2"/>
          <w:w w:val="105"/>
          <w:sz w:val="24"/>
          <w:szCs w:val="24"/>
        </w:rPr>
      </w:pPr>
      <w:r w:rsidRPr="007C5687">
        <w:rPr>
          <w:rStyle w:val="CharacterStyle1"/>
          <w:spacing w:val="6"/>
          <w:w w:val="105"/>
          <w:sz w:val="24"/>
          <w:szCs w:val="24"/>
        </w:rPr>
        <w:t xml:space="preserve">Cuando la causa de ingratitud consiste en la comisión por el donatario de algún delito contra la </w:t>
      </w:r>
      <w:r w:rsidRPr="007C5687">
        <w:rPr>
          <w:rStyle w:val="CharacterStyle1"/>
          <w:spacing w:val="2"/>
          <w:w w:val="105"/>
          <w:sz w:val="24"/>
          <w:szCs w:val="24"/>
        </w:rPr>
        <w:t xml:space="preserve">persona, el honor o los bienes del donante y se ha seguido un procedimiento penal por denuncia del </w:t>
      </w:r>
      <w:r w:rsidRPr="007C5687">
        <w:rPr>
          <w:rStyle w:val="CharacterStyle1"/>
          <w:spacing w:val="3"/>
          <w:w w:val="105"/>
          <w:sz w:val="24"/>
          <w:szCs w:val="24"/>
        </w:rPr>
        <w:t xml:space="preserve">propio donante, el plazo empezará a computarse desde el día en que éste conoció la firmeza de la </w:t>
      </w:r>
      <w:r w:rsidRPr="007C5687">
        <w:rPr>
          <w:rStyle w:val="CharacterStyle1"/>
          <w:spacing w:val="2"/>
          <w:w w:val="105"/>
          <w:sz w:val="24"/>
          <w:szCs w:val="24"/>
        </w:rPr>
        <w:t xml:space="preserve">sentencia condenatoria penal y no desde el acaecimiento del hecho que constituía la ingratitud. </w:t>
      </w:r>
    </w:p>
    <w:p w:rsidR="000E7C5E" w:rsidRDefault="000E7C5E" w:rsidP="000E7C5E">
      <w:pPr>
        <w:pStyle w:val="Style2"/>
        <w:kinsoku w:val="0"/>
        <w:autoSpaceDE/>
        <w:autoSpaceDN/>
        <w:spacing w:line="360" w:lineRule="auto"/>
        <w:rPr>
          <w:rStyle w:val="CharacterStyle1"/>
          <w:spacing w:val="2"/>
          <w:w w:val="105"/>
          <w:sz w:val="24"/>
          <w:szCs w:val="24"/>
        </w:rPr>
      </w:pPr>
    </w:p>
    <w:p w:rsidR="000E7C5E" w:rsidRPr="007C5687" w:rsidRDefault="000E7C5E" w:rsidP="000E7C5E">
      <w:pPr>
        <w:pStyle w:val="Style2"/>
        <w:kinsoku w:val="0"/>
        <w:autoSpaceDE/>
        <w:autoSpaceDN/>
        <w:spacing w:line="360" w:lineRule="auto"/>
        <w:rPr>
          <w:rStyle w:val="CharacterStyle1"/>
          <w:spacing w:val="2"/>
          <w:w w:val="105"/>
          <w:sz w:val="24"/>
          <w:szCs w:val="24"/>
        </w:rPr>
      </w:pPr>
      <w:r w:rsidRPr="007C5687">
        <w:rPr>
          <w:rStyle w:val="CharacterStyle1"/>
          <w:spacing w:val="2"/>
          <w:w w:val="105"/>
          <w:sz w:val="24"/>
          <w:szCs w:val="24"/>
        </w:rPr>
        <w:t xml:space="preserve">Es en </w:t>
      </w:r>
      <w:r w:rsidRPr="007C5687">
        <w:rPr>
          <w:rStyle w:val="CharacterStyle1"/>
          <w:spacing w:val="4"/>
          <w:w w:val="105"/>
          <w:sz w:val="24"/>
          <w:szCs w:val="24"/>
        </w:rPr>
        <w:t xml:space="preserve">aquel momento cuando se considera que el donante tuvo </w:t>
      </w:r>
      <w:r w:rsidRPr="007C5687">
        <w:rPr>
          <w:rStyle w:val="CharacterStyle1"/>
          <w:spacing w:val="4"/>
          <w:w w:val="105"/>
          <w:sz w:val="24"/>
          <w:szCs w:val="24"/>
        </w:rPr>
        <w:lastRenderedPageBreak/>
        <w:t xml:space="preserve">'conocimiento del hecho y posibilidad de </w:t>
      </w:r>
      <w:r w:rsidRPr="007C5687">
        <w:rPr>
          <w:rStyle w:val="CharacterStyle1"/>
          <w:spacing w:val="5"/>
          <w:w w:val="105"/>
          <w:sz w:val="24"/>
          <w:szCs w:val="24"/>
        </w:rPr>
        <w:t xml:space="preserve">ejercitar la acción'. La valoración jurídica de que el hecho cometido por el donatario es constitutivo </w:t>
      </w:r>
      <w:r w:rsidRPr="007C5687">
        <w:rPr>
          <w:rStyle w:val="CharacterStyle1"/>
          <w:spacing w:val="1"/>
          <w:w w:val="105"/>
          <w:sz w:val="24"/>
          <w:szCs w:val="24"/>
        </w:rPr>
        <w:t xml:space="preserve">de delito es competencia exclusiva y excluyente de los órganos jurisdiccionales penales. Incluso si se </w:t>
      </w:r>
      <w:r w:rsidRPr="007C5687">
        <w:rPr>
          <w:rStyle w:val="CharacterStyle1"/>
          <w:spacing w:val="5"/>
          <w:w w:val="105"/>
          <w:sz w:val="24"/>
          <w:szCs w:val="24"/>
        </w:rPr>
        <w:t xml:space="preserve">iniciara el proceso civil antes de incoarse el procedimiento penal aquél deberá quedar suspendido </w:t>
      </w:r>
      <w:r w:rsidRPr="007C5687">
        <w:rPr>
          <w:rStyle w:val="CharacterStyle1"/>
          <w:spacing w:val="2"/>
          <w:w w:val="105"/>
          <w:sz w:val="24"/>
          <w:szCs w:val="24"/>
        </w:rPr>
        <w:t>hasta la resolución firme de éste.</w:t>
      </w:r>
    </w:p>
    <w:p w:rsidR="000E7C5E" w:rsidRDefault="000E7C5E" w:rsidP="000E7C5E">
      <w:pPr>
        <w:pStyle w:val="Style2"/>
        <w:kinsoku w:val="0"/>
        <w:autoSpaceDE/>
        <w:autoSpaceDN/>
        <w:spacing w:line="360" w:lineRule="auto"/>
        <w:rPr>
          <w:rStyle w:val="CharacterStyle1"/>
          <w:spacing w:val="4"/>
          <w:w w:val="105"/>
          <w:sz w:val="24"/>
          <w:szCs w:val="24"/>
        </w:rPr>
      </w:pPr>
    </w:p>
    <w:p w:rsidR="000E7C5E" w:rsidRDefault="000E7C5E" w:rsidP="000E7C5E">
      <w:pPr>
        <w:pStyle w:val="Style2"/>
        <w:kinsoku w:val="0"/>
        <w:autoSpaceDE/>
        <w:autoSpaceDN/>
        <w:spacing w:line="360" w:lineRule="auto"/>
        <w:rPr>
          <w:rStyle w:val="CharacterStyle1"/>
          <w:spacing w:val="3"/>
          <w:w w:val="105"/>
          <w:sz w:val="24"/>
          <w:szCs w:val="24"/>
        </w:rPr>
      </w:pPr>
      <w:r w:rsidRPr="007C5687">
        <w:rPr>
          <w:rStyle w:val="CharacterStyle1"/>
          <w:spacing w:val="4"/>
          <w:w w:val="105"/>
          <w:sz w:val="24"/>
          <w:szCs w:val="24"/>
        </w:rPr>
        <w:t xml:space="preserve">En este caso el donante se personó como acusador particular en el procedimiento seguido contra su hijo por lesiones dolosas, por lo que el plazo para ejercitar la acción revocatoria se inició desde la </w:t>
      </w:r>
      <w:r w:rsidRPr="007C5687">
        <w:rPr>
          <w:rStyle w:val="CharacterStyle1"/>
          <w:spacing w:val="3"/>
          <w:w w:val="105"/>
          <w:sz w:val="24"/>
          <w:szCs w:val="24"/>
        </w:rPr>
        <w:t>firmeza de la sentencia condenatoria firme.</w:t>
      </w:r>
    </w:p>
    <w:p w:rsidR="000E7C5E" w:rsidRPr="007C5687" w:rsidRDefault="000E7C5E" w:rsidP="000E7C5E">
      <w:pPr>
        <w:pStyle w:val="Style2"/>
        <w:kinsoku w:val="0"/>
        <w:autoSpaceDE/>
        <w:autoSpaceDN/>
        <w:spacing w:line="360" w:lineRule="auto"/>
        <w:rPr>
          <w:rStyle w:val="CharacterStyle1"/>
          <w:spacing w:val="3"/>
          <w:w w:val="105"/>
          <w:sz w:val="24"/>
          <w:szCs w:val="24"/>
        </w:rPr>
      </w:pPr>
    </w:p>
    <w:p w:rsidR="000E7C5E" w:rsidRDefault="000E7C5E" w:rsidP="000E7C5E">
      <w:pPr>
        <w:pStyle w:val="Style2"/>
        <w:kinsoku w:val="0"/>
        <w:autoSpaceDE/>
        <w:autoSpaceDN/>
        <w:spacing w:line="360" w:lineRule="auto"/>
        <w:rPr>
          <w:rStyle w:val="CharacterStyle1"/>
          <w:spacing w:val="3"/>
          <w:w w:val="105"/>
          <w:sz w:val="24"/>
          <w:szCs w:val="24"/>
        </w:rPr>
      </w:pPr>
      <w:r w:rsidRPr="007C5687">
        <w:rPr>
          <w:rStyle w:val="CharacterStyle1"/>
          <w:spacing w:val="5"/>
          <w:w w:val="105"/>
          <w:sz w:val="24"/>
          <w:szCs w:val="24"/>
        </w:rPr>
        <w:t xml:space="preserve">Por otra parte, debe señalarse que, encontrándonos ante una donación de bien ganancial realizada </w:t>
      </w:r>
      <w:r w:rsidRPr="007C5687">
        <w:rPr>
          <w:rStyle w:val="CharacterStyle1"/>
          <w:spacing w:val="1"/>
          <w:w w:val="105"/>
          <w:sz w:val="24"/>
          <w:szCs w:val="24"/>
        </w:rPr>
        <w:t xml:space="preserve">por ambos progenitores del donatario, la ingratitud cometida contra uno de los donantes conlleva la </w:t>
      </w:r>
      <w:r w:rsidRPr="007C5687">
        <w:rPr>
          <w:rStyle w:val="CharacterStyle1"/>
          <w:spacing w:val="3"/>
          <w:w w:val="105"/>
          <w:sz w:val="24"/>
          <w:szCs w:val="24"/>
        </w:rPr>
        <w:t>ineficacia de la donación efectuada por la otra donante.</w:t>
      </w:r>
    </w:p>
    <w:p w:rsidR="000E7C5E" w:rsidRPr="007C5687" w:rsidRDefault="000E7C5E" w:rsidP="000E7C5E">
      <w:pPr>
        <w:pStyle w:val="Style2"/>
        <w:kinsoku w:val="0"/>
        <w:autoSpaceDE/>
        <w:autoSpaceDN/>
        <w:spacing w:line="360" w:lineRule="auto"/>
        <w:rPr>
          <w:rStyle w:val="CharacterStyle1"/>
          <w:spacing w:val="3"/>
          <w:w w:val="105"/>
          <w:sz w:val="24"/>
          <w:szCs w:val="24"/>
        </w:rPr>
      </w:pPr>
    </w:p>
    <w:p w:rsidR="000E7C5E" w:rsidRDefault="000E7C5E" w:rsidP="000E7C5E">
      <w:pPr>
        <w:pStyle w:val="Style2"/>
        <w:kinsoku w:val="0"/>
        <w:autoSpaceDE/>
        <w:autoSpaceDN/>
        <w:spacing w:line="360" w:lineRule="auto"/>
        <w:rPr>
          <w:rStyle w:val="CharacterStyle1"/>
          <w:w w:val="105"/>
          <w:sz w:val="24"/>
          <w:szCs w:val="24"/>
        </w:rPr>
      </w:pPr>
      <w:r w:rsidRPr="007C5687">
        <w:rPr>
          <w:rStyle w:val="CharacterStyle1"/>
          <w:spacing w:val="1"/>
          <w:w w:val="105"/>
          <w:sz w:val="24"/>
          <w:szCs w:val="24"/>
        </w:rPr>
        <w:t xml:space="preserve">La donación de un inmueble ganancial exige el concurso de la voluntad de todos los partícipes en el </w:t>
      </w:r>
      <w:r w:rsidRPr="007C5687">
        <w:rPr>
          <w:rStyle w:val="CharacterStyle1"/>
          <w:spacing w:val="2"/>
          <w:w w:val="105"/>
          <w:sz w:val="24"/>
          <w:szCs w:val="24"/>
        </w:rPr>
        <w:t xml:space="preserve">patrimonio ganancial. Por ello, si uno de los cónyuges revoca el consentimiento prestado se incumple </w:t>
      </w:r>
      <w:r w:rsidRPr="007C5687">
        <w:rPr>
          <w:rStyle w:val="CharacterStyle1"/>
          <w:spacing w:val="6"/>
          <w:w w:val="105"/>
          <w:sz w:val="24"/>
          <w:szCs w:val="24"/>
        </w:rPr>
        <w:t xml:space="preserve">esta exigencia del concurso de voluntades para que pueda procederse a la transmisión del bien </w:t>
      </w:r>
      <w:r w:rsidRPr="007C5687">
        <w:rPr>
          <w:rStyle w:val="CharacterStyle1"/>
          <w:w w:val="105"/>
          <w:sz w:val="24"/>
          <w:szCs w:val="24"/>
        </w:rPr>
        <w:t>ganancial.</w:t>
      </w:r>
    </w:p>
    <w:p w:rsidR="000E7C5E" w:rsidRPr="007C5687" w:rsidRDefault="000E7C5E" w:rsidP="000E7C5E">
      <w:pPr>
        <w:pStyle w:val="Style2"/>
        <w:kinsoku w:val="0"/>
        <w:autoSpaceDE/>
        <w:autoSpaceDN/>
        <w:spacing w:line="360" w:lineRule="auto"/>
        <w:rPr>
          <w:rStyle w:val="CharacterStyle1"/>
          <w:w w:val="105"/>
          <w:sz w:val="24"/>
          <w:szCs w:val="24"/>
        </w:rPr>
      </w:pPr>
    </w:p>
    <w:p w:rsidR="000E7C5E" w:rsidRPr="007C5687" w:rsidRDefault="000E7C5E" w:rsidP="000E7C5E">
      <w:pPr>
        <w:pStyle w:val="Style1"/>
        <w:kinsoku w:val="0"/>
        <w:autoSpaceDE/>
        <w:autoSpaceDN/>
        <w:adjustRightInd/>
        <w:spacing w:before="108" w:line="360" w:lineRule="auto"/>
        <w:ind w:right="216"/>
        <w:jc w:val="both"/>
        <w:rPr>
          <w:rStyle w:val="CharacterStyle2"/>
          <w:rFonts w:ascii="Arial" w:hAnsi="Arial" w:cs="Arial"/>
          <w:spacing w:val="4"/>
          <w:w w:val="105"/>
          <w:sz w:val="24"/>
          <w:szCs w:val="24"/>
        </w:rPr>
      </w:pPr>
      <w:r w:rsidRPr="007C5687">
        <w:rPr>
          <w:rStyle w:val="CharacterStyle2"/>
          <w:rFonts w:ascii="Arial" w:hAnsi="Arial" w:cs="Arial"/>
          <w:spacing w:val="5"/>
          <w:w w:val="105"/>
          <w:sz w:val="24"/>
          <w:szCs w:val="24"/>
        </w:rPr>
        <w:t xml:space="preserve">En consecuencia, concurriendo el consentimiento de solo uno de los partícipes en la sociedad de </w:t>
      </w:r>
      <w:r w:rsidRPr="007C5687">
        <w:rPr>
          <w:rStyle w:val="CharacterStyle2"/>
          <w:rFonts w:ascii="Arial" w:hAnsi="Arial" w:cs="Arial"/>
          <w:spacing w:val="3"/>
          <w:w w:val="105"/>
          <w:sz w:val="24"/>
          <w:szCs w:val="24"/>
        </w:rPr>
        <w:t xml:space="preserve">gananciales, la revocación de una donación de un bien ganancial por ingratitud justificada y ejercida </w:t>
      </w:r>
      <w:r w:rsidRPr="007C5687">
        <w:rPr>
          <w:rStyle w:val="CharacterStyle2"/>
          <w:rFonts w:ascii="Arial" w:hAnsi="Arial" w:cs="Arial"/>
          <w:spacing w:val="4"/>
          <w:w w:val="105"/>
          <w:sz w:val="24"/>
          <w:szCs w:val="24"/>
        </w:rPr>
        <w:t xml:space="preserve">por uno de los donantes comporta la ineficacia de la donación misma, </w:t>
      </w:r>
      <w:r w:rsidRPr="007C5687">
        <w:rPr>
          <w:rStyle w:val="CharacterStyle2"/>
          <w:rFonts w:ascii="Arial" w:hAnsi="Arial" w:cs="Arial"/>
          <w:spacing w:val="4"/>
          <w:w w:val="105"/>
          <w:sz w:val="24"/>
          <w:szCs w:val="24"/>
        </w:rPr>
        <w:lastRenderedPageBreak/>
        <w:t>quedando privada de efectos.</w:t>
      </w:r>
    </w:p>
    <w:p w:rsidR="005F29B9" w:rsidRPr="005C65F6" w:rsidRDefault="005F29B9" w:rsidP="005F29B9">
      <w:pPr>
        <w:spacing w:before="100" w:beforeAutospacing="1" w:after="100" w:afterAutospacing="1"/>
        <w:jc w:val="both"/>
        <w:rPr>
          <w:rFonts w:ascii="Arial" w:hAnsi="Arial" w:cs="Arial"/>
        </w:rPr>
      </w:pPr>
    </w:p>
    <w:p w:rsidR="005F29B9" w:rsidRPr="005C65F6" w:rsidRDefault="005F29B9" w:rsidP="005F29B9">
      <w:pPr>
        <w:spacing w:before="100" w:beforeAutospacing="1" w:after="100" w:afterAutospacing="1"/>
        <w:jc w:val="both"/>
        <w:rPr>
          <w:rFonts w:ascii="Arial" w:hAnsi="Arial" w:cs="Arial"/>
        </w:rPr>
      </w:pPr>
      <w:r w:rsidRPr="005C65F6">
        <w:rPr>
          <w:rFonts w:ascii="Arial" w:hAnsi="Arial" w:cs="Arial"/>
          <w:bCs/>
          <w:kern w:val="36"/>
        </w:rPr>
        <w:t xml:space="preserve"> </w:t>
      </w:r>
    </w:p>
    <w:p w:rsidR="005F29B9" w:rsidRPr="005C65F6" w:rsidRDefault="005F29B9" w:rsidP="005F29B9">
      <w:pPr>
        <w:jc w:val="both"/>
        <w:rPr>
          <w:rFonts w:ascii="Arial" w:hAnsi="Arial" w:cs="Arial"/>
        </w:rPr>
      </w:pPr>
    </w:p>
    <w:p w:rsidR="00424999" w:rsidRPr="007F5563" w:rsidRDefault="00424999" w:rsidP="009469A4">
      <w:pPr>
        <w:spacing w:line="360" w:lineRule="auto"/>
        <w:jc w:val="both"/>
        <w:rPr>
          <w:rFonts w:ascii="Arial" w:hAnsi="Arial" w:cs="Arial"/>
        </w:rPr>
      </w:pPr>
    </w:p>
    <w:p w:rsidR="00D02291" w:rsidRPr="007F5563" w:rsidRDefault="00D02291" w:rsidP="009469A4">
      <w:pPr>
        <w:spacing w:line="360" w:lineRule="auto"/>
        <w:jc w:val="both"/>
        <w:rPr>
          <w:rFonts w:ascii="Arial" w:hAnsi="Arial" w:cs="Arial"/>
        </w:rPr>
      </w:pPr>
    </w:p>
    <w:sectPr w:rsidR="00D02291" w:rsidRPr="007F5563" w:rsidSect="00963829">
      <w:headerReference w:type="even" r:id="rId8"/>
      <w:headerReference w:type="default" r:id="rId9"/>
      <w:footerReference w:type="even" r:id="rId10"/>
      <w:footerReference w:type="default" r:id="rId11"/>
      <w:headerReference w:type="first" r:id="rId1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B0B" w:rsidRDefault="00EF7B0B">
      <w:r>
        <w:separator/>
      </w:r>
    </w:p>
  </w:endnote>
  <w:endnote w:type="continuationSeparator" w:id="0">
    <w:p w:rsidR="00EF7B0B" w:rsidRDefault="00EF7B0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0654E5"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0654E5"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0E7C5E">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084CE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B0B" w:rsidRDefault="00EF7B0B">
      <w:r>
        <w:separator/>
      </w:r>
    </w:p>
  </w:footnote>
  <w:footnote w:type="continuationSeparator" w:id="0">
    <w:p w:rsidR="00EF7B0B" w:rsidRDefault="00EF7B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0654E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0654E5"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4F7410"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722E09" w:rsidRDefault="00722E09"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0654E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E07112"/>
    <w:multiLevelType w:val="multilevel"/>
    <w:tmpl w:val="A6C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933BD3"/>
    <w:multiLevelType w:val="multilevel"/>
    <w:tmpl w:val="9AF8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A29451C"/>
    <w:multiLevelType w:val="multilevel"/>
    <w:tmpl w:val="12F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341A09"/>
    <w:multiLevelType w:val="multilevel"/>
    <w:tmpl w:val="3612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2462CA"/>
    <w:multiLevelType w:val="multilevel"/>
    <w:tmpl w:val="569C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912ABB"/>
    <w:multiLevelType w:val="multilevel"/>
    <w:tmpl w:val="E37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2C1B83"/>
    <w:multiLevelType w:val="multilevel"/>
    <w:tmpl w:val="5DE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8B50363"/>
    <w:multiLevelType w:val="multilevel"/>
    <w:tmpl w:val="56349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23"/>
  </w:num>
  <w:num w:numId="4">
    <w:abstractNumId w:val="31"/>
  </w:num>
  <w:num w:numId="5">
    <w:abstractNumId w:val="38"/>
  </w:num>
  <w:num w:numId="6">
    <w:abstractNumId w:val="18"/>
    <w:lvlOverride w:ilvl="0">
      <w:lvl w:ilvl="0">
        <w:numFmt w:val="decimal"/>
        <w:lvlText w:val="%1."/>
        <w:lvlJc w:val="left"/>
      </w:lvl>
    </w:lvlOverride>
  </w:num>
  <w:num w:numId="7">
    <w:abstractNumId w:val="17"/>
  </w:num>
  <w:num w:numId="8">
    <w:abstractNumId w:val="12"/>
  </w:num>
  <w:num w:numId="9">
    <w:abstractNumId w:val="26"/>
  </w:num>
  <w:num w:numId="10">
    <w:abstractNumId w:val="21"/>
  </w:num>
  <w:num w:numId="11">
    <w:abstractNumId w:val="13"/>
  </w:num>
  <w:num w:numId="12">
    <w:abstractNumId w:val="32"/>
  </w:num>
  <w:num w:numId="13">
    <w:abstractNumId w:val="14"/>
  </w:num>
  <w:num w:numId="14">
    <w:abstractNumId w:val="15"/>
  </w:num>
  <w:num w:numId="15">
    <w:abstractNumId w:val="33"/>
  </w:num>
  <w:num w:numId="16">
    <w:abstractNumId w:val="36"/>
  </w:num>
  <w:num w:numId="17">
    <w:abstractNumId w:val="39"/>
  </w:num>
  <w:num w:numId="18">
    <w:abstractNumId w:val="42"/>
  </w:num>
  <w:num w:numId="19">
    <w:abstractNumId w:val="40"/>
  </w:num>
  <w:num w:numId="20">
    <w:abstractNumId w:val="35"/>
  </w:num>
  <w:num w:numId="21">
    <w:abstractNumId w:val="44"/>
  </w:num>
  <w:num w:numId="22">
    <w:abstractNumId w:val="11"/>
  </w:num>
  <w:num w:numId="23">
    <w:abstractNumId w:val="48"/>
  </w:num>
  <w:num w:numId="24">
    <w:abstractNumId w:val="19"/>
  </w:num>
  <w:num w:numId="25">
    <w:abstractNumId w:val="34"/>
  </w:num>
  <w:num w:numId="26">
    <w:abstractNumId w:val="46"/>
  </w:num>
  <w:num w:numId="27">
    <w:abstractNumId w:val="30"/>
  </w:num>
  <w:num w:numId="28">
    <w:abstractNumId w:val="10"/>
  </w:num>
  <w:num w:numId="29">
    <w:abstractNumId w:val="45"/>
  </w:num>
  <w:num w:numId="30">
    <w:abstractNumId w:val="24"/>
  </w:num>
  <w:num w:numId="31">
    <w:abstractNumId w:val="25"/>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 w:numId="42">
    <w:abstractNumId w:val="20"/>
  </w:num>
  <w:num w:numId="43">
    <w:abstractNumId w:val="37"/>
  </w:num>
  <w:num w:numId="44">
    <w:abstractNumId w:val="47"/>
  </w:num>
  <w:num w:numId="45">
    <w:abstractNumId w:val="43"/>
  </w:num>
  <w:num w:numId="46">
    <w:abstractNumId w:val="41"/>
  </w:num>
  <w:num w:numId="47">
    <w:abstractNumId w:val="22"/>
  </w:num>
  <w:num w:numId="48">
    <w:abstractNumId w:val="27"/>
  </w:num>
  <w:num w:numId="49">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525314"/>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54E5"/>
    <w:rsid w:val="00067615"/>
    <w:rsid w:val="000677B4"/>
    <w:rsid w:val="00067EEE"/>
    <w:rsid w:val="00072160"/>
    <w:rsid w:val="00073B7E"/>
    <w:rsid w:val="000743A0"/>
    <w:rsid w:val="00076312"/>
    <w:rsid w:val="00076B86"/>
    <w:rsid w:val="00077A88"/>
    <w:rsid w:val="000825EC"/>
    <w:rsid w:val="00083E4E"/>
    <w:rsid w:val="00084CEF"/>
    <w:rsid w:val="00086F28"/>
    <w:rsid w:val="000873CF"/>
    <w:rsid w:val="000915CD"/>
    <w:rsid w:val="00096DA1"/>
    <w:rsid w:val="000A133F"/>
    <w:rsid w:val="000A3582"/>
    <w:rsid w:val="000A3CA6"/>
    <w:rsid w:val="000A6A5F"/>
    <w:rsid w:val="000B30D9"/>
    <w:rsid w:val="000C2041"/>
    <w:rsid w:val="000C22DA"/>
    <w:rsid w:val="000C337E"/>
    <w:rsid w:val="000C3873"/>
    <w:rsid w:val="000C47AE"/>
    <w:rsid w:val="000C4953"/>
    <w:rsid w:val="000D5D61"/>
    <w:rsid w:val="000D6B11"/>
    <w:rsid w:val="000E1823"/>
    <w:rsid w:val="000E7C5E"/>
    <w:rsid w:val="000F1749"/>
    <w:rsid w:val="000F7844"/>
    <w:rsid w:val="0010060C"/>
    <w:rsid w:val="0010178D"/>
    <w:rsid w:val="00101CFD"/>
    <w:rsid w:val="0011301C"/>
    <w:rsid w:val="0011338B"/>
    <w:rsid w:val="001172ED"/>
    <w:rsid w:val="00117C70"/>
    <w:rsid w:val="001204C1"/>
    <w:rsid w:val="00122D88"/>
    <w:rsid w:val="00123215"/>
    <w:rsid w:val="00124AAD"/>
    <w:rsid w:val="00124EA1"/>
    <w:rsid w:val="00126642"/>
    <w:rsid w:val="00131CFB"/>
    <w:rsid w:val="001360FD"/>
    <w:rsid w:val="00136165"/>
    <w:rsid w:val="00137AEE"/>
    <w:rsid w:val="00140D3C"/>
    <w:rsid w:val="00140F44"/>
    <w:rsid w:val="00142B0C"/>
    <w:rsid w:val="00142C8E"/>
    <w:rsid w:val="0014307B"/>
    <w:rsid w:val="00143B44"/>
    <w:rsid w:val="00144AB1"/>
    <w:rsid w:val="00145211"/>
    <w:rsid w:val="00146353"/>
    <w:rsid w:val="00146577"/>
    <w:rsid w:val="00150E4E"/>
    <w:rsid w:val="0015267B"/>
    <w:rsid w:val="00153427"/>
    <w:rsid w:val="001543FF"/>
    <w:rsid w:val="00155425"/>
    <w:rsid w:val="00157604"/>
    <w:rsid w:val="00162E93"/>
    <w:rsid w:val="00163318"/>
    <w:rsid w:val="0016353A"/>
    <w:rsid w:val="00165508"/>
    <w:rsid w:val="00166951"/>
    <w:rsid w:val="00170C4A"/>
    <w:rsid w:val="00170D3F"/>
    <w:rsid w:val="001737EB"/>
    <w:rsid w:val="0017494A"/>
    <w:rsid w:val="00175CE4"/>
    <w:rsid w:val="001765E7"/>
    <w:rsid w:val="001771E6"/>
    <w:rsid w:val="00181091"/>
    <w:rsid w:val="001829D4"/>
    <w:rsid w:val="00183795"/>
    <w:rsid w:val="00185C69"/>
    <w:rsid w:val="0018755D"/>
    <w:rsid w:val="00190868"/>
    <w:rsid w:val="0019129D"/>
    <w:rsid w:val="00192B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4BC2"/>
    <w:rsid w:val="001E5F6F"/>
    <w:rsid w:val="001F194A"/>
    <w:rsid w:val="001F2637"/>
    <w:rsid w:val="001F56C0"/>
    <w:rsid w:val="00202275"/>
    <w:rsid w:val="00204913"/>
    <w:rsid w:val="002054C7"/>
    <w:rsid w:val="00206865"/>
    <w:rsid w:val="00210BCC"/>
    <w:rsid w:val="00214BAE"/>
    <w:rsid w:val="0021672E"/>
    <w:rsid w:val="00222D9D"/>
    <w:rsid w:val="00224282"/>
    <w:rsid w:val="00225477"/>
    <w:rsid w:val="00227489"/>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4F37"/>
    <w:rsid w:val="002661E3"/>
    <w:rsid w:val="00266FF5"/>
    <w:rsid w:val="00267153"/>
    <w:rsid w:val="002674D9"/>
    <w:rsid w:val="00270928"/>
    <w:rsid w:val="002744D4"/>
    <w:rsid w:val="002759CE"/>
    <w:rsid w:val="00281A21"/>
    <w:rsid w:val="00282546"/>
    <w:rsid w:val="00283E8B"/>
    <w:rsid w:val="00284FAC"/>
    <w:rsid w:val="002860A4"/>
    <w:rsid w:val="002863E2"/>
    <w:rsid w:val="00287D71"/>
    <w:rsid w:val="002A0150"/>
    <w:rsid w:val="002A06DB"/>
    <w:rsid w:val="002A2EE4"/>
    <w:rsid w:val="002A40D6"/>
    <w:rsid w:val="002A6352"/>
    <w:rsid w:val="002A670B"/>
    <w:rsid w:val="002B04BE"/>
    <w:rsid w:val="002B268C"/>
    <w:rsid w:val="002B4021"/>
    <w:rsid w:val="002B579C"/>
    <w:rsid w:val="002B6667"/>
    <w:rsid w:val="002B67CA"/>
    <w:rsid w:val="002B7B7F"/>
    <w:rsid w:val="002C2243"/>
    <w:rsid w:val="002C61B5"/>
    <w:rsid w:val="002C7E96"/>
    <w:rsid w:val="002D11AD"/>
    <w:rsid w:val="002D21BE"/>
    <w:rsid w:val="002D2ED2"/>
    <w:rsid w:val="002D32FE"/>
    <w:rsid w:val="002D50B8"/>
    <w:rsid w:val="002D7131"/>
    <w:rsid w:val="002E053F"/>
    <w:rsid w:val="002E3AC7"/>
    <w:rsid w:val="002E3BC0"/>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25D6"/>
    <w:rsid w:val="00323572"/>
    <w:rsid w:val="00323FC4"/>
    <w:rsid w:val="0032491A"/>
    <w:rsid w:val="00324D99"/>
    <w:rsid w:val="0032681D"/>
    <w:rsid w:val="00326C83"/>
    <w:rsid w:val="00331994"/>
    <w:rsid w:val="00332AC6"/>
    <w:rsid w:val="00332F1F"/>
    <w:rsid w:val="00336A68"/>
    <w:rsid w:val="003416DE"/>
    <w:rsid w:val="003458AA"/>
    <w:rsid w:val="00355C06"/>
    <w:rsid w:val="00357DD2"/>
    <w:rsid w:val="00361A96"/>
    <w:rsid w:val="0036668D"/>
    <w:rsid w:val="00366E63"/>
    <w:rsid w:val="003672E1"/>
    <w:rsid w:val="0036733A"/>
    <w:rsid w:val="00367EC5"/>
    <w:rsid w:val="00372666"/>
    <w:rsid w:val="00373292"/>
    <w:rsid w:val="00373387"/>
    <w:rsid w:val="00374027"/>
    <w:rsid w:val="00393327"/>
    <w:rsid w:val="00393D23"/>
    <w:rsid w:val="003A1F2B"/>
    <w:rsid w:val="003A3123"/>
    <w:rsid w:val="003B28C1"/>
    <w:rsid w:val="003B35D0"/>
    <w:rsid w:val="003B4424"/>
    <w:rsid w:val="003B5346"/>
    <w:rsid w:val="003B6C70"/>
    <w:rsid w:val="003B6FA8"/>
    <w:rsid w:val="003B70A6"/>
    <w:rsid w:val="003B736D"/>
    <w:rsid w:val="003C161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6C38"/>
    <w:rsid w:val="003F7B60"/>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6A71"/>
    <w:rsid w:val="00457758"/>
    <w:rsid w:val="00457F59"/>
    <w:rsid w:val="0046105C"/>
    <w:rsid w:val="00461E39"/>
    <w:rsid w:val="00464DB2"/>
    <w:rsid w:val="00465065"/>
    <w:rsid w:val="0046656C"/>
    <w:rsid w:val="00470834"/>
    <w:rsid w:val="004712E1"/>
    <w:rsid w:val="0047172D"/>
    <w:rsid w:val="00471EC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04EE"/>
    <w:rsid w:val="004A1D3C"/>
    <w:rsid w:val="004A2021"/>
    <w:rsid w:val="004A4482"/>
    <w:rsid w:val="004A6D3B"/>
    <w:rsid w:val="004B28BD"/>
    <w:rsid w:val="004C1C76"/>
    <w:rsid w:val="004C1F35"/>
    <w:rsid w:val="004C2912"/>
    <w:rsid w:val="004C358F"/>
    <w:rsid w:val="004C4D7A"/>
    <w:rsid w:val="004C4DD6"/>
    <w:rsid w:val="004C4F92"/>
    <w:rsid w:val="004C5EF2"/>
    <w:rsid w:val="004D1089"/>
    <w:rsid w:val="004D11E2"/>
    <w:rsid w:val="004D231A"/>
    <w:rsid w:val="004D2CC9"/>
    <w:rsid w:val="004D442F"/>
    <w:rsid w:val="004D4741"/>
    <w:rsid w:val="004D4815"/>
    <w:rsid w:val="004D57A3"/>
    <w:rsid w:val="004D7C75"/>
    <w:rsid w:val="004E07F8"/>
    <w:rsid w:val="004E0928"/>
    <w:rsid w:val="004E737A"/>
    <w:rsid w:val="004F1AE6"/>
    <w:rsid w:val="004F39A9"/>
    <w:rsid w:val="004F4321"/>
    <w:rsid w:val="004F494F"/>
    <w:rsid w:val="004F7038"/>
    <w:rsid w:val="004F7410"/>
    <w:rsid w:val="004F7677"/>
    <w:rsid w:val="00502F2D"/>
    <w:rsid w:val="00506161"/>
    <w:rsid w:val="005109CF"/>
    <w:rsid w:val="00510B3A"/>
    <w:rsid w:val="005111CB"/>
    <w:rsid w:val="00511E39"/>
    <w:rsid w:val="00511F20"/>
    <w:rsid w:val="0051516A"/>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586"/>
    <w:rsid w:val="00595B9D"/>
    <w:rsid w:val="00595E1F"/>
    <w:rsid w:val="00597940"/>
    <w:rsid w:val="005B2316"/>
    <w:rsid w:val="005B330A"/>
    <w:rsid w:val="005B364E"/>
    <w:rsid w:val="005B4DE8"/>
    <w:rsid w:val="005B56D9"/>
    <w:rsid w:val="005B75C9"/>
    <w:rsid w:val="005C19B9"/>
    <w:rsid w:val="005C42C4"/>
    <w:rsid w:val="005C523E"/>
    <w:rsid w:val="005D24D0"/>
    <w:rsid w:val="005D3C55"/>
    <w:rsid w:val="005D7F03"/>
    <w:rsid w:val="005E548E"/>
    <w:rsid w:val="005E56CF"/>
    <w:rsid w:val="005F0261"/>
    <w:rsid w:val="005F23CF"/>
    <w:rsid w:val="005F29B9"/>
    <w:rsid w:val="005F41D2"/>
    <w:rsid w:val="005F6243"/>
    <w:rsid w:val="005F7C83"/>
    <w:rsid w:val="0060154D"/>
    <w:rsid w:val="00605E0D"/>
    <w:rsid w:val="0061004A"/>
    <w:rsid w:val="00621861"/>
    <w:rsid w:val="0063047C"/>
    <w:rsid w:val="0063121F"/>
    <w:rsid w:val="00632790"/>
    <w:rsid w:val="006338D1"/>
    <w:rsid w:val="00643141"/>
    <w:rsid w:val="006505F3"/>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6BF8"/>
    <w:rsid w:val="006877B4"/>
    <w:rsid w:val="006928C9"/>
    <w:rsid w:val="006930B8"/>
    <w:rsid w:val="00693270"/>
    <w:rsid w:val="006936BB"/>
    <w:rsid w:val="00694729"/>
    <w:rsid w:val="006949F3"/>
    <w:rsid w:val="00695DF6"/>
    <w:rsid w:val="00697334"/>
    <w:rsid w:val="006A1490"/>
    <w:rsid w:val="006A1BCD"/>
    <w:rsid w:val="006A2C71"/>
    <w:rsid w:val="006A4E17"/>
    <w:rsid w:val="006A5309"/>
    <w:rsid w:val="006A61E4"/>
    <w:rsid w:val="006B159B"/>
    <w:rsid w:val="006B447B"/>
    <w:rsid w:val="006B4A3E"/>
    <w:rsid w:val="006C0996"/>
    <w:rsid w:val="006C1DC1"/>
    <w:rsid w:val="006C350A"/>
    <w:rsid w:val="006C3DA2"/>
    <w:rsid w:val="006C5AA0"/>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0719"/>
    <w:rsid w:val="00717478"/>
    <w:rsid w:val="00721D3E"/>
    <w:rsid w:val="00722C56"/>
    <w:rsid w:val="00722E09"/>
    <w:rsid w:val="007252D3"/>
    <w:rsid w:val="00727120"/>
    <w:rsid w:val="00727173"/>
    <w:rsid w:val="0072781A"/>
    <w:rsid w:val="00730F24"/>
    <w:rsid w:val="00731EBB"/>
    <w:rsid w:val="007320B2"/>
    <w:rsid w:val="007348FE"/>
    <w:rsid w:val="00734A63"/>
    <w:rsid w:val="00734BA9"/>
    <w:rsid w:val="00735B76"/>
    <w:rsid w:val="00741184"/>
    <w:rsid w:val="007419EB"/>
    <w:rsid w:val="00743988"/>
    <w:rsid w:val="00743D1A"/>
    <w:rsid w:val="007440F5"/>
    <w:rsid w:val="0074498C"/>
    <w:rsid w:val="007465D8"/>
    <w:rsid w:val="00747158"/>
    <w:rsid w:val="007503F8"/>
    <w:rsid w:val="00760140"/>
    <w:rsid w:val="00760ECB"/>
    <w:rsid w:val="007635F9"/>
    <w:rsid w:val="00763C44"/>
    <w:rsid w:val="00765E89"/>
    <w:rsid w:val="00767711"/>
    <w:rsid w:val="00767F47"/>
    <w:rsid w:val="007729A9"/>
    <w:rsid w:val="00772E66"/>
    <w:rsid w:val="0077398E"/>
    <w:rsid w:val="007771EA"/>
    <w:rsid w:val="00782C76"/>
    <w:rsid w:val="007855E5"/>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3F8D"/>
    <w:rsid w:val="007E4C61"/>
    <w:rsid w:val="007E5901"/>
    <w:rsid w:val="007E5FD3"/>
    <w:rsid w:val="007E7D5A"/>
    <w:rsid w:val="007F12CE"/>
    <w:rsid w:val="007F3791"/>
    <w:rsid w:val="007F497A"/>
    <w:rsid w:val="007F5563"/>
    <w:rsid w:val="00800E14"/>
    <w:rsid w:val="008019F1"/>
    <w:rsid w:val="00804079"/>
    <w:rsid w:val="008042FD"/>
    <w:rsid w:val="00806BD3"/>
    <w:rsid w:val="00815FBD"/>
    <w:rsid w:val="008162AD"/>
    <w:rsid w:val="00817F2A"/>
    <w:rsid w:val="00825050"/>
    <w:rsid w:val="00832245"/>
    <w:rsid w:val="008336B6"/>
    <w:rsid w:val="008343D7"/>
    <w:rsid w:val="00840498"/>
    <w:rsid w:val="00841973"/>
    <w:rsid w:val="00843326"/>
    <w:rsid w:val="0084497B"/>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0518"/>
    <w:rsid w:val="008839CF"/>
    <w:rsid w:val="00883B42"/>
    <w:rsid w:val="0088710E"/>
    <w:rsid w:val="00890667"/>
    <w:rsid w:val="008916FC"/>
    <w:rsid w:val="00895754"/>
    <w:rsid w:val="008977C5"/>
    <w:rsid w:val="008A04B0"/>
    <w:rsid w:val="008A7198"/>
    <w:rsid w:val="008B06B0"/>
    <w:rsid w:val="008B1379"/>
    <w:rsid w:val="008B1469"/>
    <w:rsid w:val="008B271D"/>
    <w:rsid w:val="008B33B5"/>
    <w:rsid w:val="008B475A"/>
    <w:rsid w:val="008B6D39"/>
    <w:rsid w:val="008C05D0"/>
    <w:rsid w:val="008C1D08"/>
    <w:rsid w:val="008D740A"/>
    <w:rsid w:val="008E234D"/>
    <w:rsid w:val="008E4858"/>
    <w:rsid w:val="008E5B16"/>
    <w:rsid w:val="008E7057"/>
    <w:rsid w:val="008F00DE"/>
    <w:rsid w:val="008F073F"/>
    <w:rsid w:val="008F15E4"/>
    <w:rsid w:val="008F30F8"/>
    <w:rsid w:val="008F4096"/>
    <w:rsid w:val="008F61AA"/>
    <w:rsid w:val="008F6439"/>
    <w:rsid w:val="009036B2"/>
    <w:rsid w:val="0090382B"/>
    <w:rsid w:val="00910B49"/>
    <w:rsid w:val="00911185"/>
    <w:rsid w:val="00911495"/>
    <w:rsid w:val="00911FEA"/>
    <w:rsid w:val="0091270A"/>
    <w:rsid w:val="0091400C"/>
    <w:rsid w:val="00914687"/>
    <w:rsid w:val="00915170"/>
    <w:rsid w:val="00920163"/>
    <w:rsid w:val="00921DCD"/>
    <w:rsid w:val="00922762"/>
    <w:rsid w:val="009227EE"/>
    <w:rsid w:val="009311E5"/>
    <w:rsid w:val="009361FA"/>
    <w:rsid w:val="009416AE"/>
    <w:rsid w:val="009422B8"/>
    <w:rsid w:val="009426CD"/>
    <w:rsid w:val="009438A7"/>
    <w:rsid w:val="00946110"/>
    <w:rsid w:val="009469A4"/>
    <w:rsid w:val="00947AA3"/>
    <w:rsid w:val="00947BA6"/>
    <w:rsid w:val="00960B1B"/>
    <w:rsid w:val="00963694"/>
    <w:rsid w:val="00963829"/>
    <w:rsid w:val="009653C8"/>
    <w:rsid w:val="0096679C"/>
    <w:rsid w:val="00967966"/>
    <w:rsid w:val="00971FA9"/>
    <w:rsid w:val="00972339"/>
    <w:rsid w:val="0097243F"/>
    <w:rsid w:val="009725D8"/>
    <w:rsid w:val="0097529C"/>
    <w:rsid w:val="00980C52"/>
    <w:rsid w:val="00982CBB"/>
    <w:rsid w:val="00983DAD"/>
    <w:rsid w:val="00985ACC"/>
    <w:rsid w:val="00985CDE"/>
    <w:rsid w:val="00987906"/>
    <w:rsid w:val="00993871"/>
    <w:rsid w:val="0099563E"/>
    <w:rsid w:val="00996BCB"/>
    <w:rsid w:val="009A0719"/>
    <w:rsid w:val="009A0A05"/>
    <w:rsid w:val="009A2007"/>
    <w:rsid w:val="009B39B1"/>
    <w:rsid w:val="009B433E"/>
    <w:rsid w:val="009B5F48"/>
    <w:rsid w:val="009B6BE2"/>
    <w:rsid w:val="009B7116"/>
    <w:rsid w:val="009C162D"/>
    <w:rsid w:val="009C3C6E"/>
    <w:rsid w:val="009C4094"/>
    <w:rsid w:val="009C4524"/>
    <w:rsid w:val="009C6D7B"/>
    <w:rsid w:val="009C7714"/>
    <w:rsid w:val="009D1BF8"/>
    <w:rsid w:val="009D242D"/>
    <w:rsid w:val="009D3B47"/>
    <w:rsid w:val="009D5785"/>
    <w:rsid w:val="009D58A2"/>
    <w:rsid w:val="009E0AC4"/>
    <w:rsid w:val="009E0EF0"/>
    <w:rsid w:val="009E1A38"/>
    <w:rsid w:val="009F12A8"/>
    <w:rsid w:val="009F140E"/>
    <w:rsid w:val="009F333D"/>
    <w:rsid w:val="009F3578"/>
    <w:rsid w:val="009F494C"/>
    <w:rsid w:val="00A00301"/>
    <w:rsid w:val="00A0033F"/>
    <w:rsid w:val="00A00E65"/>
    <w:rsid w:val="00A00E6C"/>
    <w:rsid w:val="00A02F4C"/>
    <w:rsid w:val="00A02F6D"/>
    <w:rsid w:val="00A05DAC"/>
    <w:rsid w:val="00A07993"/>
    <w:rsid w:val="00A108F5"/>
    <w:rsid w:val="00A10D5C"/>
    <w:rsid w:val="00A110C3"/>
    <w:rsid w:val="00A14E96"/>
    <w:rsid w:val="00A1582D"/>
    <w:rsid w:val="00A17A8C"/>
    <w:rsid w:val="00A22B86"/>
    <w:rsid w:val="00A26AB9"/>
    <w:rsid w:val="00A26B35"/>
    <w:rsid w:val="00A3314E"/>
    <w:rsid w:val="00A35735"/>
    <w:rsid w:val="00A41704"/>
    <w:rsid w:val="00A5336A"/>
    <w:rsid w:val="00A62018"/>
    <w:rsid w:val="00A624DC"/>
    <w:rsid w:val="00A6435C"/>
    <w:rsid w:val="00A650A6"/>
    <w:rsid w:val="00A71397"/>
    <w:rsid w:val="00A72052"/>
    <w:rsid w:val="00A74F75"/>
    <w:rsid w:val="00A8339A"/>
    <w:rsid w:val="00A83D2C"/>
    <w:rsid w:val="00A8474C"/>
    <w:rsid w:val="00A84D3A"/>
    <w:rsid w:val="00A9327F"/>
    <w:rsid w:val="00A95C68"/>
    <w:rsid w:val="00A9688F"/>
    <w:rsid w:val="00A96918"/>
    <w:rsid w:val="00A96FFE"/>
    <w:rsid w:val="00AA6AE7"/>
    <w:rsid w:val="00AA7BA7"/>
    <w:rsid w:val="00AB3E10"/>
    <w:rsid w:val="00AB6707"/>
    <w:rsid w:val="00AC0E7B"/>
    <w:rsid w:val="00AC2E6D"/>
    <w:rsid w:val="00AC3749"/>
    <w:rsid w:val="00AC610C"/>
    <w:rsid w:val="00AC66E3"/>
    <w:rsid w:val="00AD12E3"/>
    <w:rsid w:val="00AD4ED8"/>
    <w:rsid w:val="00AD6A06"/>
    <w:rsid w:val="00AD6B37"/>
    <w:rsid w:val="00AE0CDC"/>
    <w:rsid w:val="00AE1701"/>
    <w:rsid w:val="00AE359E"/>
    <w:rsid w:val="00AE670F"/>
    <w:rsid w:val="00AE7F81"/>
    <w:rsid w:val="00AF0E4C"/>
    <w:rsid w:val="00AF2A8B"/>
    <w:rsid w:val="00AF3041"/>
    <w:rsid w:val="00AF30DF"/>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2BCB"/>
    <w:rsid w:val="00B34083"/>
    <w:rsid w:val="00B3697E"/>
    <w:rsid w:val="00B42A16"/>
    <w:rsid w:val="00B51FE2"/>
    <w:rsid w:val="00B5283C"/>
    <w:rsid w:val="00B52CEA"/>
    <w:rsid w:val="00B665F0"/>
    <w:rsid w:val="00B6674D"/>
    <w:rsid w:val="00B701A0"/>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4A6"/>
    <w:rsid w:val="00BD1690"/>
    <w:rsid w:val="00BD20BC"/>
    <w:rsid w:val="00BD3405"/>
    <w:rsid w:val="00BD4366"/>
    <w:rsid w:val="00BD5290"/>
    <w:rsid w:val="00BD6C6B"/>
    <w:rsid w:val="00BE3E2D"/>
    <w:rsid w:val="00BE7E86"/>
    <w:rsid w:val="00BF0199"/>
    <w:rsid w:val="00BF104B"/>
    <w:rsid w:val="00BF538F"/>
    <w:rsid w:val="00BF5CDF"/>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37098"/>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55DD"/>
    <w:rsid w:val="00C66751"/>
    <w:rsid w:val="00C66C7D"/>
    <w:rsid w:val="00C73B86"/>
    <w:rsid w:val="00C74157"/>
    <w:rsid w:val="00C74FA9"/>
    <w:rsid w:val="00C760CD"/>
    <w:rsid w:val="00C76228"/>
    <w:rsid w:val="00C81535"/>
    <w:rsid w:val="00C82D60"/>
    <w:rsid w:val="00C85964"/>
    <w:rsid w:val="00C9232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3E9D"/>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5ACF"/>
    <w:rsid w:val="00CF612E"/>
    <w:rsid w:val="00D02291"/>
    <w:rsid w:val="00D04FB9"/>
    <w:rsid w:val="00D06A14"/>
    <w:rsid w:val="00D07FF9"/>
    <w:rsid w:val="00D11D4B"/>
    <w:rsid w:val="00D12075"/>
    <w:rsid w:val="00D13FD6"/>
    <w:rsid w:val="00D144CA"/>
    <w:rsid w:val="00D1546B"/>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55DC4"/>
    <w:rsid w:val="00D60A2F"/>
    <w:rsid w:val="00D61219"/>
    <w:rsid w:val="00D640ED"/>
    <w:rsid w:val="00D6449B"/>
    <w:rsid w:val="00D65397"/>
    <w:rsid w:val="00D6655E"/>
    <w:rsid w:val="00D67092"/>
    <w:rsid w:val="00D677E7"/>
    <w:rsid w:val="00D70381"/>
    <w:rsid w:val="00D70616"/>
    <w:rsid w:val="00D71DD8"/>
    <w:rsid w:val="00D7270E"/>
    <w:rsid w:val="00D74366"/>
    <w:rsid w:val="00D83636"/>
    <w:rsid w:val="00D83FB0"/>
    <w:rsid w:val="00D84073"/>
    <w:rsid w:val="00D840C3"/>
    <w:rsid w:val="00D8495E"/>
    <w:rsid w:val="00D865B7"/>
    <w:rsid w:val="00D8664C"/>
    <w:rsid w:val="00D87983"/>
    <w:rsid w:val="00D91BBD"/>
    <w:rsid w:val="00D91C2A"/>
    <w:rsid w:val="00D93BDB"/>
    <w:rsid w:val="00D93C06"/>
    <w:rsid w:val="00DA035E"/>
    <w:rsid w:val="00DA2A7E"/>
    <w:rsid w:val="00DA3B37"/>
    <w:rsid w:val="00DA5CEF"/>
    <w:rsid w:val="00DA7836"/>
    <w:rsid w:val="00DB0789"/>
    <w:rsid w:val="00DB0B67"/>
    <w:rsid w:val="00DB107B"/>
    <w:rsid w:val="00DB259D"/>
    <w:rsid w:val="00DB6FE4"/>
    <w:rsid w:val="00DB7CC5"/>
    <w:rsid w:val="00DC1095"/>
    <w:rsid w:val="00DC1455"/>
    <w:rsid w:val="00DC2219"/>
    <w:rsid w:val="00DC287F"/>
    <w:rsid w:val="00DC75A6"/>
    <w:rsid w:val="00DC7EF8"/>
    <w:rsid w:val="00DD1B7E"/>
    <w:rsid w:val="00DD2A26"/>
    <w:rsid w:val="00DD529E"/>
    <w:rsid w:val="00DD6B7F"/>
    <w:rsid w:val="00DD7FE9"/>
    <w:rsid w:val="00DE4686"/>
    <w:rsid w:val="00DF069E"/>
    <w:rsid w:val="00DF2C68"/>
    <w:rsid w:val="00DF6112"/>
    <w:rsid w:val="00E00F46"/>
    <w:rsid w:val="00E0532C"/>
    <w:rsid w:val="00E056CD"/>
    <w:rsid w:val="00E058E4"/>
    <w:rsid w:val="00E07BDD"/>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4C25"/>
    <w:rsid w:val="00E6697D"/>
    <w:rsid w:val="00E66B9E"/>
    <w:rsid w:val="00E71175"/>
    <w:rsid w:val="00E73FED"/>
    <w:rsid w:val="00E74963"/>
    <w:rsid w:val="00E75290"/>
    <w:rsid w:val="00E803DC"/>
    <w:rsid w:val="00E9104D"/>
    <w:rsid w:val="00E9104F"/>
    <w:rsid w:val="00E9115F"/>
    <w:rsid w:val="00E913E2"/>
    <w:rsid w:val="00E932ED"/>
    <w:rsid w:val="00E94BC2"/>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C7DAA"/>
    <w:rsid w:val="00ED148D"/>
    <w:rsid w:val="00ED2338"/>
    <w:rsid w:val="00ED4593"/>
    <w:rsid w:val="00ED4B6B"/>
    <w:rsid w:val="00ED5F41"/>
    <w:rsid w:val="00EE229B"/>
    <w:rsid w:val="00EE7B55"/>
    <w:rsid w:val="00EF0695"/>
    <w:rsid w:val="00EF1B04"/>
    <w:rsid w:val="00EF3860"/>
    <w:rsid w:val="00EF42E4"/>
    <w:rsid w:val="00EF4EB5"/>
    <w:rsid w:val="00EF669D"/>
    <w:rsid w:val="00EF7B0B"/>
    <w:rsid w:val="00F01347"/>
    <w:rsid w:val="00F01483"/>
    <w:rsid w:val="00F04486"/>
    <w:rsid w:val="00F064C2"/>
    <w:rsid w:val="00F067C7"/>
    <w:rsid w:val="00F14190"/>
    <w:rsid w:val="00F144D9"/>
    <w:rsid w:val="00F178D3"/>
    <w:rsid w:val="00F2402F"/>
    <w:rsid w:val="00F277B3"/>
    <w:rsid w:val="00F30A15"/>
    <w:rsid w:val="00F3117E"/>
    <w:rsid w:val="00F338AF"/>
    <w:rsid w:val="00F34A5F"/>
    <w:rsid w:val="00F357CB"/>
    <w:rsid w:val="00F361D2"/>
    <w:rsid w:val="00F428DF"/>
    <w:rsid w:val="00F43004"/>
    <w:rsid w:val="00F46966"/>
    <w:rsid w:val="00F46BCE"/>
    <w:rsid w:val="00F50A25"/>
    <w:rsid w:val="00F50D86"/>
    <w:rsid w:val="00F513B5"/>
    <w:rsid w:val="00F53CB8"/>
    <w:rsid w:val="00F53EA7"/>
    <w:rsid w:val="00F56E96"/>
    <w:rsid w:val="00F606E4"/>
    <w:rsid w:val="00F60E02"/>
    <w:rsid w:val="00F61E1C"/>
    <w:rsid w:val="00F63FD9"/>
    <w:rsid w:val="00F64D09"/>
    <w:rsid w:val="00F66636"/>
    <w:rsid w:val="00F709D4"/>
    <w:rsid w:val="00F70E19"/>
    <w:rsid w:val="00F719CF"/>
    <w:rsid w:val="00F73E7A"/>
    <w:rsid w:val="00F76C6A"/>
    <w:rsid w:val="00F86132"/>
    <w:rsid w:val="00F869B5"/>
    <w:rsid w:val="00F875D9"/>
    <w:rsid w:val="00F876FB"/>
    <w:rsid w:val="00F90871"/>
    <w:rsid w:val="00F931CB"/>
    <w:rsid w:val="00F93E01"/>
    <w:rsid w:val="00FA1E6D"/>
    <w:rsid w:val="00FA3AA0"/>
    <w:rsid w:val="00FA3CE9"/>
    <w:rsid w:val="00FA6E90"/>
    <w:rsid w:val="00FB0C8A"/>
    <w:rsid w:val="00FB1706"/>
    <w:rsid w:val="00FB39C9"/>
    <w:rsid w:val="00FB3E39"/>
    <w:rsid w:val="00FB6E23"/>
    <w:rsid w:val="00FB7FAE"/>
    <w:rsid w:val="00FC0003"/>
    <w:rsid w:val="00FC02D8"/>
    <w:rsid w:val="00FC4BD4"/>
    <w:rsid w:val="00FC7E2B"/>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5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 w:type="paragraph" w:customStyle="1" w:styleId="jcon">
    <w:name w:val="jcon"/>
    <w:basedOn w:val="Normal"/>
    <w:rsid w:val="00595586"/>
    <w:pPr>
      <w:spacing w:before="100" w:beforeAutospacing="1" w:after="100" w:afterAutospacing="1"/>
    </w:pPr>
  </w:style>
  <w:style w:type="paragraph" w:customStyle="1" w:styleId="selectionshareable">
    <w:name w:val="selectionshareable"/>
    <w:basedOn w:val="Normal"/>
    <w:rsid w:val="00F04486"/>
    <w:pPr>
      <w:spacing w:before="100" w:beforeAutospacing="1" w:after="100" w:afterAutospacing="1"/>
    </w:pPr>
  </w:style>
  <w:style w:type="character" w:customStyle="1" w:styleId="teads-ui-components-credits-colored4">
    <w:name w:val="teads-ui-components-credits-colored4"/>
    <w:basedOn w:val="Fuentedeprrafopredeter"/>
    <w:rsid w:val="00F04486"/>
    <w:rPr>
      <w:rFonts w:ascii="Helvetica" w:hAnsi="Helvetica" w:cs="Helvetica" w:hint="default"/>
      <w:vanish w:val="0"/>
      <w:webHidden w:val="0"/>
      <w:color w:val="79BBE9"/>
      <w:spacing w:val="9"/>
      <w:sz w:val="36"/>
      <w:szCs w:val="36"/>
      <w:specVanish w:val="0"/>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 w:id="209258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444CF-7C1C-4F5D-95A8-7EAA88539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420</Words>
  <Characters>2310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2725</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2</cp:revision>
  <cp:lastPrinted>2016-03-23T09:20:00Z</cp:lastPrinted>
  <dcterms:created xsi:type="dcterms:W3CDTF">2017-07-25T08:08:00Z</dcterms:created>
  <dcterms:modified xsi:type="dcterms:W3CDTF">2017-07-25T08:08:00Z</dcterms:modified>
</cp:coreProperties>
</file>