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03A1" w:rsidRPr="0016488B" w:rsidRDefault="00EB03A1" w:rsidP="00EB03A1">
      <w:pPr>
        <w:spacing w:line="360" w:lineRule="auto"/>
        <w:jc w:val="both"/>
        <w:rPr>
          <w:rFonts w:ascii="Arial" w:hAnsi="Arial" w:cs="Arial"/>
        </w:rPr>
      </w:pPr>
      <w:r w:rsidRPr="0016488B">
        <w:rPr>
          <w:rFonts w:ascii="Arial" w:hAnsi="Arial" w:cs="Arial"/>
          <w:b/>
        </w:rPr>
        <w:t>ARRENDAMIENTOS. El desistimiento del contrato de local de negocio</w:t>
      </w:r>
      <w:r w:rsidRPr="0016488B">
        <w:rPr>
          <w:rFonts w:ascii="Arial" w:hAnsi="Arial" w:cs="Arial"/>
        </w:rPr>
        <w:t>. El desistimiento del contrato de local de negocio por el inquilino llevará aparejado la penalización pactada o el pago de las rentas que falten por cumplir.</w:t>
      </w:r>
    </w:p>
    <w:p w:rsidR="00EB03A1" w:rsidRPr="0016488B" w:rsidRDefault="00EB03A1" w:rsidP="00EB03A1">
      <w:pPr>
        <w:spacing w:line="360" w:lineRule="auto"/>
        <w:jc w:val="both"/>
        <w:rPr>
          <w:rFonts w:ascii="Arial" w:hAnsi="Arial" w:cs="Arial"/>
        </w:rPr>
      </w:pPr>
    </w:p>
    <w:p w:rsidR="00EB03A1" w:rsidRPr="0016488B" w:rsidRDefault="00EB03A1" w:rsidP="00EB03A1">
      <w:pPr>
        <w:pStyle w:val="NormalWeb"/>
        <w:spacing w:before="0" w:beforeAutospacing="0" w:after="0" w:afterAutospacing="0" w:line="360" w:lineRule="auto"/>
        <w:jc w:val="both"/>
        <w:rPr>
          <w:rFonts w:ascii="Arial" w:hAnsi="Arial" w:cs="Arial"/>
        </w:rPr>
      </w:pPr>
      <w:r w:rsidRPr="0016488B">
        <w:rPr>
          <w:rFonts w:ascii="Arial" w:hAnsi="Arial" w:cs="Arial"/>
        </w:rPr>
        <w:t>Cuando hablamos del desistimiento del contrato de local de negocio, nos estamos refiriendo al supuesto, por otro lado frecuente, de la conducta del arrendatario que no quiere o puede continuar con el local alquilado incumpliendo la duración pactada por las partes.</w:t>
      </w:r>
    </w:p>
    <w:p w:rsidR="00EB03A1" w:rsidRPr="0016488B" w:rsidRDefault="00EB03A1" w:rsidP="00EB03A1">
      <w:pPr>
        <w:pStyle w:val="NormalWeb"/>
        <w:spacing w:before="0" w:beforeAutospacing="0" w:after="0" w:afterAutospacing="0" w:line="360" w:lineRule="auto"/>
        <w:jc w:val="both"/>
        <w:rPr>
          <w:rFonts w:ascii="Arial" w:hAnsi="Arial" w:cs="Arial"/>
        </w:rPr>
      </w:pPr>
    </w:p>
    <w:p w:rsidR="00EB03A1" w:rsidRPr="0016488B" w:rsidRDefault="00EB03A1" w:rsidP="00EB03A1">
      <w:pPr>
        <w:pStyle w:val="NormalWeb"/>
        <w:spacing w:before="0" w:beforeAutospacing="0" w:after="0" w:afterAutospacing="0" w:line="360" w:lineRule="auto"/>
        <w:jc w:val="both"/>
        <w:rPr>
          <w:rFonts w:ascii="Arial" w:hAnsi="Arial" w:cs="Arial"/>
        </w:rPr>
      </w:pPr>
      <w:r w:rsidRPr="0016488B">
        <w:rPr>
          <w:rFonts w:ascii="Arial" w:hAnsi="Arial" w:cs="Arial"/>
        </w:rPr>
        <w:t xml:space="preserve">Nos vamos a referir en este artículo a los contratos de arrendamiento de local de negocio suscritos a partir del </w:t>
      </w:r>
      <w:r w:rsidRPr="0016488B">
        <w:rPr>
          <w:rStyle w:val="Textoennegrita"/>
          <w:rFonts w:ascii="Arial" w:hAnsi="Arial" w:cs="Arial"/>
          <w:b w:val="0"/>
        </w:rPr>
        <w:t>1 de enero de 1995</w:t>
      </w:r>
      <w:r w:rsidRPr="0016488B">
        <w:rPr>
          <w:rFonts w:ascii="Arial" w:hAnsi="Arial" w:cs="Arial"/>
        </w:rPr>
        <w:t xml:space="preserve">, es decir sujetos a la </w:t>
      </w:r>
      <w:hyperlink r:id="rId8" w:tgtFrame="_blank" w:history="1">
        <w:r w:rsidRPr="0016488B">
          <w:rPr>
            <w:rStyle w:val="Hipervnculo"/>
            <w:rFonts w:ascii="Arial" w:hAnsi="Arial" w:cs="Arial"/>
            <w:bCs/>
            <w:color w:val="auto"/>
            <w:u w:val="none"/>
          </w:rPr>
          <w:t>Ley de Arrendamientos Urbanos 29/1994 de 24 de noviembre</w:t>
        </w:r>
      </w:hyperlink>
      <w:r w:rsidRPr="0016488B">
        <w:rPr>
          <w:rStyle w:val="Textoennegrita"/>
          <w:rFonts w:ascii="Arial" w:hAnsi="Arial" w:cs="Arial"/>
          <w:b w:val="0"/>
        </w:rPr>
        <w:t> </w:t>
      </w:r>
      <w:r w:rsidRPr="0016488B">
        <w:rPr>
          <w:rFonts w:ascii="Arial" w:hAnsi="Arial" w:cs="Arial"/>
        </w:rPr>
        <w:t>(</w:t>
      </w:r>
      <w:proofErr w:type="spellStart"/>
      <w:r w:rsidRPr="0016488B">
        <w:rPr>
          <w:rFonts w:ascii="Arial" w:hAnsi="Arial" w:cs="Arial"/>
        </w:rPr>
        <w:t>LAU</w:t>
      </w:r>
      <w:proofErr w:type="spellEnd"/>
      <w:r w:rsidRPr="0016488B">
        <w:rPr>
          <w:rFonts w:ascii="Arial" w:hAnsi="Arial" w:cs="Arial"/>
        </w:rPr>
        <w:t xml:space="preserve"> 29/94).</w:t>
      </w:r>
    </w:p>
    <w:p w:rsidR="00EB03A1" w:rsidRPr="0016488B" w:rsidRDefault="00EB03A1" w:rsidP="00EB03A1">
      <w:pPr>
        <w:pStyle w:val="NormalWeb"/>
        <w:spacing w:before="0" w:beforeAutospacing="0" w:after="0" w:afterAutospacing="0" w:line="360" w:lineRule="auto"/>
        <w:jc w:val="both"/>
        <w:rPr>
          <w:rFonts w:ascii="Arial" w:hAnsi="Arial" w:cs="Arial"/>
        </w:rPr>
      </w:pPr>
    </w:p>
    <w:p w:rsidR="00EB03A1" w:rsidRPr="0016488B" w:rsidRDefault="00EB03A1" w:rsidP="00EB03A1">
      <w:pPr>
        <w:pStyle w:val="NormalWeb"/>
        <w:spacing w:before="0" w:beforeAutospacing="0" w:after="0" w:afterAutospacing="0" w:line="360" w:lineRule="auto"/>
        <w:jc w:val="both"/>
        <w:rPr>
          <w:rStyle w:val="nfasis"/>
          <w:rFonts w:ascii="Arial" w:hAnsi="Arial" w:cs="Arial"/>
          <w:i w:val="0"/>
        </w:rPr>
      </w:pPr>
      <w:r w:rsidRPr="0016488B">
        <w:rPr>
          <w:rFonts w:ascii="Arial" w:hAnsi="Arial" w:cs="Arial"/>
        </w:rPr>
        <w:t xml:space="preserve">Lo primero que he de decir,  es que la </w:t>
      </w:r>
      <w:proofErr w:type="spellStart"/>
      <w:r w:rsidRPr="0016488B">
        <w:rPr>
          <w:rFonts w:ascii="Arial" w:hAnsi="Arial" w:cs="Arial"/>
        </w:rPr>
        <w:t>LAU</w:t>
      </w:r>
      <w:proofErr w:type="spellEnd"/>
      <w:r w:rsidRPr="0016488B">
        <w:rPr>
          <w:rFonts w:ascii="Arial" w:hAnsi="Arial" w:cs="Arial"/>
        </w:rPr>
        <w:t xml:space="preserve"> 29/94 deja plena libertad a los contratantes para establecer los pactos que consideren oportunos respecto a la </w:t>
      </w:r>
      <w:r w:rsidRPr="0016488B">
        <w:rPr>
          <w:rStyle w:val="Textoennegrita"/>
          <w:rFonts w:ascii="Arial" w:hAnsi="Arial" w:cs="Arial"/>
          <w:b w:val="0"/>
        </w:rPr>
        <w:t>duración del arrendamiento de local de negocio</w:t>
      </w:r>
      <w:r w:rsidRPr="0016488B">
        <w:rPr>
          <w:rFonts w:ascii="Arial" w:hAnsi="Arial" w:cs="Arial"/>
        </w:rPr>
        <w:t xml:space="preserve"> (a diferencia de lo que ocurre con las vivienda), por lo que ambas partes pueden acordar el plazo que decidan. El</w:t>
      </w:r>
      <w:hyperlink r:id="rId9" w:tgtFrame="_blank" w:history="1">
        <w:r w:rsidRPr="0016488B">
          <w:rPr>
            <w:rStyle w:val="Textoennegrita"/>
            <w:rFonts w:ascii="Arial" w:hAnsi="Arial" w:cs="Arial"/>
            <w:b w:val="0"/>
          </w:rPr>
          <w:t xml:space="preserve"> artículo 1.255 del Código Civil</w:t>
        </w:r>
      </w:hyperlink>
      <w:r w:rsidRPr="0016488B">
        <w:rPr>
          <w:rFonts w:ascii="Arial" w:hAnsi="Arial" w:cs="Arial"/>
        </w:rPr>
        <w:t xml:space="preserve"> dispone</w:t>
      </w:r>
      <w:proofErr w:type="gramStart"/>
      <w:r w:rsidRPr="0016488B">
        <w:rPr>
          <w:rFonts w:ascii="Arial" w:hAnsi="Arial" w:cs="Arial"/>
        </w:rPr>
        <w:t>:</w:t>
      </w:r>
      <w:r w:rsidRPr="0016488B">
        <w:rPr>
          <w:rStyle w:val="nfasis"/>
          <w:rFonts w:ascii="Arial" w:hAnsi="Arial" w:cs="Arial"/>
          <w:i w:val="0"/>
        </w:rPr>
        <w:t xml:space="preserve"> ”</w:t>
      </w:r>
      <w:proofErr w:type="gramEnd"/>
      <w:r w:rsidRPr="0016488B">
        <w:rPr>
          <w:rStyle w:val="nfasis"/>
          <w:rFonts w:ascii="Arial" w:hAnsi="Arial" w:cs="Arial"/>
          <w:i w:val="0"/>
        </w:rPr>
        <w:t xml:space="preserve"> Los contratantes pueden establecer los pactos que tengan por conveniente, siempre que no sean contrarios a la leyes, a la moral ni al orden público”.</w:t>
      </w:r>
    </w:p>
    <w:p w:rsidR="00EB03A1" w:rsidRPr="0016488B" w:rsidRDefault="00EB03A1" w:rsidP="00EB03A1">
      <w:pPr>
        <w:pStyle w:val="NormalWeb"/>
        <w:spacing w:before="0" w:beforeAutospacing="0" w:after="0" w:afterAutospacing="0" w:line="360" w:lineRule="auto"/>
        <w:jc w:val="both"/>
        <w:rPr>
          <w:rFonts w:ascii="Arial" w:hAnsi="Arial" w:cs="Arial"/>
        </w:rPr>
      </w:pPr>
    </w:p>
    <w:p w:rsidR="00EB03A1" w:rsidRPr="0016488B" w:rsidRDefault="00EB03A1" w:rsidP="00EB03A1">
      <w:pPr>
        <w:pStyle w:val="NormalWeb"/>
        <w:spacing w:before="0" w:beforeAutospacing="0" w:after="0" w:afterAutospacing="0" w:line="360" w:lineRule="auto"/>
        <w:jc w:val="both"/>
        <w:rPr>
          <w:rFonts w:ascii="Arial" w:hAnsi="Arial" w:cs="Arial"/>
        </w:rPr>
      </w:pPr>
      <w:r w:rsidRPr="0016488B">
        <w:rPr>
          <w:rFonts w:ascii="Arial" w:hAnsi="Arial" w:cs="Arial"/>
        </w:rPr>
        <w:t>La duración del contrato, como cualquier otro pacto, tiene suma importancia, puesto que  acordado un tiempo determinado, no cabe en un principio que alguna de las partes incumpla lo pactado. Si el arrendatario abandona antes de ese tiempo, se denomina “</w:t>
      </w:r>
      <w:r w:rsidRPr="0016488B">
        <w:rPr>
          <w:rStyle w:val="Textoennegrita"/>
          <w:rFonts w:ascii="Arial" w:hAnsi="Arial" w:cs="Arial"/>
          <w:b w:val="0"/>
        </w:rPr>
        <w:t>desistimiento</w:t>
      </w:r>
      <w:r w:rsidRPr="0016488B">
        <w:rPr>
          <w:rFonts w:ascii="Arial" w:hAnsi="Arial" w:cs="Arial"/>
        </w:rPr>
        <w:t xml:space="preserve">“. Los contratos están para cumplirse en todos sus extremos,  por tanto, ha de cumplirse con la duración convenida. El </w:t>
      </w:r>
      <w:hyperlink r:id="rId10" w:tgtFrame="_blank" w:history="1">
        <w:r w:rsidRPr="0016488B">
          <w:rPr>
            <w:rStyle w:val="Textoennegrita"/>
            <w:rFonts w:ascii="Arial" w:hAnsi="Arial" w:cs="Arial"/>
            <w:b w:val="0"/>
          </w:rPr>
          <w:t>artículo 1.256 del Código Civil</w:t>
        </w:r>
      </w:hyperlink>
      <w:r w:rsidRPr="0016488B">
        <w:rPr>
          <w:rFonts w:ascii="Arial" w:hAnsi="Arial" w:cs="Arial"/>
        </w:rPr>
        <w:t xml:space="preserve"> dispone al respecto </w:t>
      </w:r>
      <w:proofErr w:type="gramStart"/>
      <w:r w:rsidRPr="0016488B">
        <w:rPr>
          <w:rFonts w:ascii="Arial" w:hAnsi="Arial" w:cs="Arial"/>
        </w:rPr>
        <w:t xml:space="preserve">que </w:t>
      </w:r>
      <w:r w:rsidRPr="0016488B">
        <w:rPr>
          <w:rStyle w:val="nfasis"/>
          <w:rFonts w:ascii="Arial" w:hAnsi="Arial" w:cs="Arial"/>
          <w:i w:val="0"/>
        </w:rPr>
        <w:t>”</w:t>
      </w:r>
      <w:proofErr w:type="gramEnd"/>
      <w:r w:rsidRPr="0016488B">
        <w:rPr>
          <w:rStyle w:val="nfasis"/>
          <w:rFonts w:ascii="Arial" w:hAnsi="Arial" w:cs="Arial"/>
          <w:i w:val="0"/>
        </w:rPr>
        <w:t xml:space="preserve"> La validez y el cumplimiento de los contratos no pueden dejarse al arbitrio de uno de los contratantes”</w:t>
      </w:r>
      <w:r w:rsidRPr="0016488B">
        <w:rPr>
          <w:rFonts w:ascii="Arial" w:hAnsi="Arial" w:cs="Arial"/>
        </w:rPr>
        <w:t>.</w:t>
      </w:r>
    </w:p>
    <w:p w:rsidR="00EB03A1" w:rsidRPr="0016488B" w:rsidRDefault="00EB03A1" w:rsidP="00EB03A1">
      <w:pPr>
        <w:pStyle w:val="NormalWeb"/>
        <w:spacing w:before="0" w:beforeAutospacing="0" w:after="0" w:afterAutospacing="0" w:line="360" w:lineRule="auto"/>
        <w:jc w:val="both"/>
        <w:rPr>
          <w:rFonts w:ascii="Arial" w:hAnsi="Arial" w:cs="Arial"/>
        </w:rPr>
      </w:pPr>
    </w:p>
    <w:p w:rsidR="00EB03A1" w:rsidRPr="0016488B" w:rsidRDefault="00EB03A1" w:rsidP="00EB03A1">
      <w:pPr>
        <w:pStyle w:val="NormalWeb"/>
        <w:spacing w:before="0" w:beforeAutospacing="0" w:after="0" w:afterAutospacing="0" w:line="360" w:lineRule="auto"/>
        <w:jc w:val="both"/>
        <w:rPr>
          <w:rFonts w:ascii="Arial" w:hAnsi="Arial" w:cs="Arial"/>
        </w:rPr>
      </w:pPr>
      <w:r w:rsidRPr="0016488B">
        <w:rPr>
          <w:rFonts w:ascii="Arial" w:hAnsi="Arial" w:cs="Arial"/>
        </w:rPr>
        <w:t xml:space="preserve">Sentados estos principios básicos del Derecho, traslademos estas cuestiones al </w:t>
      </w:r>
      <w:r w:rsidRPr="0016488B">
        <w:rPr>
          <w:rStyle w:val="Textoennegrita"/>
          <w:rFonts w:ascii="Arial" w:hAnsi="Arial" w:cs="Arial"/>
          <w:b w:val="0"/>
        </w:rPr>
        <w:t>desistimiento del contrato de local de negocio</w:t>
      </w:r>
      <w:r w:rsidRPr="0016488B">
        <w:rPr>
          <w:rFonts w:ascii="Arial" w:hAnsi="Arial" w:cs="Arial"/>
        </w:rPr>
        <w:t xml:space="preserve"> por el arrendatario que no desea continuar con el alquiler incumpliendo de este modo la duración pactada.</w:t>
      </w:r>
    </w:p>
    <w:p w:rsidR="00EB03A1" w:rsidRPr="0016488B" w:rsidRDefault="00EB03A1" w:rsidP="00EB03A1">
      <w:pPr>
        <w:pStyle w:val="NormalWeb"/>
        <w:spacing w:before="0" w:beforeAutospacing="0" w:after="0" w:afterAutospacing="0" w:line="360" w:lineRule="auto"/>
        <w:jc w:val="both"/>
        <w:rPr>
          <w:rFonts w:ascii="Arial" w:hAnsi="Arial" w:cs="Arial"/>
        </w:rPr>
      </w:pPr>
    </w:p>
    <w:p w:rsidR="00EB03A1" w:rsidRPr="0016488B" w:rsidRDefault="00EB03A1" w:rsidP="00EB03A1">
      <w:pPr>
        <w:pStyle w:val="Ttulo2"/>
        <w:spacing w:before="0" w:after="0" w:line="360" w:lineRule="auto"/>
        <w:jc w:val="both"/>
        <w:rPr>
          <w:rStyle w:val="Textoennegrita"/>
          <w:rFonts w:ascii="Arial" w:hAnsi="Arial" w:cs="Arial"/>
          <w:bCs/>
          <w:i w:val="0"/>
          <w:sz w:val="24"/>
          <w:szCs w:val="24"/>
        </w:rPr>
      </w:pPr>
      <w:r w:rsidRPr="0016488B">
        <w:rPr>
          <w:rStyle w:val="Textoennegrita"/>
          <w:rFonts w:ascii="Arial" w:hAnsi="Arial" w:cs="Arial"/>
          <w:bCs/>
          <w:i w:val="0"/>
          <w:sz w:val="24"/>
          <w:szCs w:val="24"/>
        </w:rPr>
        <w:t>Situaciones habituales que se pueden dar:</w:t>
      </w:r>
    </w:p>
    <w:p w:rsidR="00EB03A1" w:rsidRPr="0016488B" w:rsidRDefault="00EB03A1" w:rsidP="00EB03A1">
      <w:pPr>
        <w:rPr>
          <w:rFonts w:ascii="Arial" w:hAnsi="Arial" w:cs="Arial"/>
        </w:rPr>
      </w:pPr>
    </w:p>
    <w:p w:rsidR="00EB03A1" w:rsidRPr="0016488B" w:rsidRDefault="00EB03A1" w:rsidP="00EB03A1">
      <w:pPr>
        <w:pStyle w:val="NormalWeb"/>
        <w:spacing w:before="0" w:beforeAutospacing="0" w:after="0" w:afterAutospacing="0" w:line="360" w:lineRule="auto"/>
        <w:jc w:val="both"/>
        <w:rPr>
          <w:rFonts w:ascii="Arial" w:hAnsi="Arial" w:cs="Arial"/>
        </w:rPr>
      </w:pPr>
      <w:r w:rsidRPr="0016488B">
        <w:rPr>
          <w:rStyle w:val="Textoennegrita"/>
          <w:rFonts w:ascii="Arial" w:hAnsi="Arial" w:cs="Arial"/>
          <w:b w:val="0"/>
        </w:rPr>
        <w:t>1º.-</w:t>
      </w:r>
      <w:r w:rsidRPr="0016488B">
        <w:rPr>
          <w:rFonts w:ascii="Arial" w:hAnsi="Arial" w:cs="Arial"/>
        </w:rPr>
        <w:t xml:space="preserve">  Hay que ver si en el contrato de arrendamiento </w:t>
      </w:r>
      <w:r w:rsidRPr="0016488B">
        <w:rPr>
          <w:rStyle w:val="Textoennegrita"/>
          <w:rFonts w:ascii="Arial" w:hAnsi="Arial" w:cs="Arial"/>
          <w:b w:val="0"/>
        </w:rPr>
        <w:t>se pactó la posibilidad de desistimiento del contrato</w:t>
      </w:r>
      <w:r w:rsidRPr="0016488B">
        <w:rPr>
          <w:rFonts w:ascii="Arial" w:hAnsi="Arial" w:cs="Arial"/>
        </w:rPr>
        <w:t xml:space="preserve"> de local de negocio a favor del arrendatario. O dicho de otra manera, si figura pactado en el contrato que el inquilino puede irse antes del tiempo de duración convenido. Si es así, </w:t>
      </w:r>
      <w:r w:rsidRPr="0016488B">
        <w:rPr>
          <w:rStyle w:val="Textoennegrita"/>
          <w:rFonts w:ascii="Arial" w:hAnsi="Arial" w:cs="Arial"/>
          <w:b w:val="0"/>
        </w:rPr>
        <w:t>nada impide que el contrato se extinga</w:t>
      </w:r>
      <w:r w:rsidRPr="0016488B">
        <w:rPr>
          <w:rFonts w:ascii="Arial" w:hAnsi="Arial" w:cs="Arial"/>
        </w:rPr>
        <w:t>, puesto que está previsto por la “libertad de pactos” el desistimiento del inquilino.  Solo deberá cumplir el arrendatario, si se hubiere convenido, los plazos de preaviso para desistir.</w:t>
      </w:r>
    </w:p>
    <w:p w:rsidR="00EB03A1" w:rsidRPr="0016488B" w:rsidRDefault="00EB03A1" w:rsidP="00EB03A1">
      <w:pPr>
        <w:pStyle w:val="NormalWeb"/>
        <w:spacing w:before="0" w:beforeAutospacing="0" w:after="0" w:afterAutospacing="0" w:line="360" w:lineRule="auto"/>
        <w:jc w:val="both"/>
        <w:rPr>
          <w:rFonts w:ascii="Arial" w:hAnsi="Arial" w:cs="Arial"/>
        </w:rPr>
      </w:pPr>
    </w:p>
    <w:p w:rsidR="00EB03A1" w:rsidRPr="0016488B" w:rsidRDefault="00EB03A1" w:rsidP="00EB03A1">
      <w:pPr>
        <w:pStyle w:val="NormalWeb"/>
        <w:spacing w:before="0" w:beforeAutospacing="0" w:after="0" w:afterAutospacing="0" w:line="360" w:lineRule="auto"/>
        <w:jc w:val="both"/>
        <w:rPr>
          <w:rFonts w:ascii="Arial" w:hAnsi="Arial" w:cs="Arial"/>
        </w:rPr>
      </w:pPr>
      <w:r w:rsidRPr="0016488B">
        <w:rPr>
          <w:rStyle w:val="Textoennegrita"/>
          <w:rFonts w:ascii="Arial" w:hAnsi="Arial" w:cs="Arial"/>
          <w:b w:val="0"/>
        </w:rPr>
        <w:t>2º.-</w:t>
      </w:r>
      <w:r w:rsidRPr="0016488B">
        <w:rPr>
          <w:rFonts w:ascii="Arial" w:hAnsi="Arial" w:cs="Arial"/>
        </w:rPr>
        <w:t xml:space="preserve"> Si en el contrato estaba </w:t>
      </w:r>
      <w:r w:rsidRPr="0016488B">
        <w:rPr>
          <w:rStyle w:val="Textoennegrita"/>
          <w:rFonts w:ascii="Arial" w:hAnsi="Arial" w:cs="Arial"/>
          <w:b w:val="0"/>
        </w:rPr>
        <w:t>previsto el desistimiento del contrato de local de negocio</w:t>
      </w:r>
      <w:r w:rsidRPr="0016488B">
        <w:rPr>
          <w:rFonts w:ascii="Arial" w:hAnsi="Arial" w:cs="Arial"/>
        </w:rPr>
        <w:t xml:space="preserve"> a favor del inquilino pero </w:t>
      </w:r>
      <w:r w:rsidRPr="0016488B">
        <w:rPr>
          <w:rStyle w:val="Textoennegrita"/>
          <w:rFonts w:ascii="Arial" w:hAnsi="Arial" w:cs="Arial"/>
          <w:b w:val="0"/>
        </w:rPr>
        <w:t>pagando una indemnización</w:t>
      </w:r>
      <w:r w:rsidRPr="0016488B">
        <w:rPr>
          <w:rFonts w:ascii="Arial" w:hAnsi="Arial" w:cs="Arial"/>
        </w:rPr>
        <w:t xml:space="preserve"> por desistir antes del plazo, habrá que cumplir con dicha cláusula. En este caso, se entendería que es </w:t>
      </w:r>
      <w:r w:rsidRPr="0016488B">
        <w:rPr>
          <w:rStyle w:val="Textoennegrita"/>
          <w:rFonts w:ascii="Arial" w:hAnsi="Arial" w:cs="Arial"/>
          <w:b w:val="0"/>
        </w:rPr>
        <w:t>NO ES UNA CLAUSULA PENAL</w:t>
      </w:r>
      <w:r w:rsidRPr="0016488B">
        <w:rPr>
          <w:rFonts w:ascii="Arial" w:hAnsi="Arial" w:cs="Arial"/>
        </w:rPr>
        <w:t>.</w:t>
      </w:r>
    </w:p>
    <w:p w:rsidR="00EB03A1" w:rsidRPr="0016488B" w:rsidRDefault="00EB03A1" w:rsidP="00EB03A1">
      <w:pPr>
        <w:pStyle w:val="NormalWeb"/>
        <w:spacing w:before="0" w:beforeAutospacing="0" w:after="0" w:afterAutospacing="0" w:line="360" w:lineRule="auto"/>
        <w:jc w:val="both"/>
        <w:rPr>
          <w:rFonts w:ascii="Arial" w:hAnsi="Arial" w:cs="Arial"/>
        </w:rPr>
      </w:pPr>
    </w:p>
    <w:p w:rsidR="00EB03A1" w:rsidRPr="0016488B" w:rsidRDefault="00EB03A1" w:rsidP="00EB03A1">
      <w:pPr>
        <w:pStyle w:val="NormalWeb"/>
        <w:spacing w:before="0" w:beforeAutospacing="0" w:after="0" w:afterAutospacing="0" w:line="360" w:lineRule="auto"/>
        <w:jc w:val="both"/>
        <w:rPr>
          <w:rFonts w:ascii="Arial" w:hAnsi="Arial" w:cs="Arial"/>
        </w:rPr>
      </w:pPr>
      <w:r w:rsidRPr="0016488B">
        <w:rPr>
          <w:rStyle w:val="Textoennegrita"/>
          <w:rFonts w:ascii="Arial" w:hAnsi="Arial" w:cs="Arial"/>
          <w:b w:val="0"/>
        </w:rPr>
        <w:t>3º.-</w:t>
      </w:r>
      <w:r w:rsidRPr="0016488B">
        <w:rPr>
          <w:rFonts w:ascii="Arial" w:hAnsi="Arial" w:cs="Arial"/>
        </w:rPr>
        <w:t xml:space="preserve">  En el contrato de arrendamiento de local de negocio </w:t>
      </w:r>
      <w:r w:rsidRPr="0016488B">
        <w:rPr>
          <w:rStyle w:val="Textoennegrita"/>
          <w:rFonts w:ascii="Arial" w:hAnsi="Arial" w:cs="Arial"/>
          <w:b w:val="0"/>
        </w:rPr>
        <w:t xml:space="preserve">no se ha previsto el derecho de desistimiento a favor del inquilino pero sí se ha hecho constar una </w:t>
      </w:r>
      <w:r w:rsidR="0016488B" w:rsidRPr="0016488B">
        <w:rPr>
          <w:rStyle w:val="Textoennegrita"/>
          <w:rFonts w:ascii="Arial" w:hAnsi="Arial" w:cs="Arial"/>
          <w:b w:val="0"/>
        </w:rPr>
        <w:t>cláusula</w:t>
      </w:r>
      <w:r w:rsidRPr="0016488B">
        <w:rPr>
          <w:rFonts w:ascii="Arial" w:hAnsi="Arial" w:cs="Arial"/>
        </w:rPr>
        <w:t xml:space="preserve"> en la que para el supuesto de que el inquilino desista o no cumpla con el plazo de duración deberá indemnizar en la cantidad </w:t>
      </w:r>
      <w:proofErr w:type="spellStart"/>
      <w:r w:rsidRPr="0016488B">
        <w:rPr>
          <w:rFonts w:ascii="Arial" w:hAnsi="Arial" w:cs="Arial"/>
        </w:rPr>
        <w:t>xxxxx</w:t>
      </w:r>
      <w:proofErr w:type="spellEnd"/>
      <w:r w:rsidRPr="0016488B">
        <w:rPr>
          <w:rFonts w:ascii="Arial" w:hAnsi="Arial" w:cs="Arial"/>
        </w:rPr>
        <w:t xml:space="preserve">  de euros o la de pagar </w:t>
      </w:r>
      <w:proofErr w:type="spellStart"/>
      <w:r w:rsidRPr="0016488B">
        <w:rPr>
          <w:rFonts w:ascii="Arial" w:hAnsi="Arial" w:cs="Arial"/>
        </w:rPr>
        <w:t>xxxx</w:t>
      </w:r>
      <w:proofErr w:type="spellEnd"/>
      <w:r w:rsidRPr="0016488B">
        <w:rPr>
          <w:rFonts w:ascii="Arial" w:hAnsi="Arial" w:cs="Arial"/>
        </w:rPr>
        <w:t xml:space="preserve"> mensualidades de renta. En este caso, se considera esta estipulación como una </w:t>
      </w:r>
      <w:r w:rsidRPr="0016488B">
        <w:rPr>
          <w:rStyle w:val="Textoennegrita"/>
          <w:rFonts w:ascii="Arial" w:hAnsi="Arial" w:cs="Arial"/>
          <w:b w:val="0"/>
        </w:rPr>
        <w:t>CLAUSULA PENAL</w:t>
      </w:r>
      <w:r w:rsidRPr="0016488B">
        <w:rPr>
          <w:rFonts w:ascii="Arial" w:hAnsi="Arial" w:cs="Arial"/>
        </w:rPr>
        <w:t xml:space="preserve">, y por tanto </w:t>
      </w:r>
      <w:r w:rsidRPr="0016488B">
        <w:rPr>
          <w:rStyle w:val="Textoennegrita"/>
          <w:rFonts w:ascii="Arial" w:hAnsi="Arial" w:cs="Arial"/>
          <w:b w:val="0"/>
        </w:rPr>
        <w:t>le permite al Juez moderarla</w:t>
      </w:r>
      <w:r w:rsidRPr="0016488B">
        <w:rPr>
          <w:rFonts w:ascii="Arial" w:hAnsi="Arial" w:cs="Arial"/>
        </w:rPr>
        <w:t xml:space="preserve">. En estos casos el </w:t>
      </w:r>
      <w:r w:rsidRPr="0016488B">
        <w:rPr>
          <w:rStyle w:val="Textoennegrita"/>
          <w:rFonts w:ascii="Arial" w:hAnsi="Arial" w:cs="Arial"/>
          <w:b w:val="0"/>
        </w:rPr>
        <w:t>arrendador</w:t>
      </w:r>
      <w:r w:rsidRPr="0016488B">
        <w:rPr>
          <w:rFonts w:ascii="Arial" w:hAnsi="Arial" w:cs="Arial"/>
        </w:rPr>
        <w:t xml:space="preserve"> puede</w:t>
      </w:r>
      <w:r w:rsidRPr="0016488B">
        <w:rPr>
          <w:rStyle w:val="Textoennegrita"/>
          <w:rFonts w:ascii="Arial" w:hAnsi="Arial" w:cs="Arial"/>
          <w:b w:val="0"/>
        </w:rPr>
        <w:t xml:space="preserve"> optar por dos caminos</w:t>
      </w:r>
      <w:r w:rsidRPr="0016488B">
        <w:rPr>
          <w:rFonts w:ascii="Arial" w:hAnsi="Arial" w:cs="Arial"/>
        </w:rPr>
        <w:t>:</w:t>
      </w:r>
    </w:p>
    <w:p w:rsidR="00EB03A1" w:rsidRPr="0016488B" w:rsidRDefault="00EB03A1" w:rsidP="00EB03A1">
      <w:pPr>
        <w:pStyle w:val="NormalWeb"/>
        <w:spacing w:before="0" w:beforeAutospacing="0" w:after="0" w:afterAutospacing="0" w:line="360" w:lineRule="auto"/>
        <w:jc w:val="both"/>
        <w:rPr>
          <w:rFonts w:ascii="Arial" w:hAnsi="Arial" w:cs="Arial"/>
        </w:rPr>
      </w:pPr>
    </w:p>
    <w:p w:rsidR="00EB03A1" w:rsidRPr="0016488B" w:rsidRDefault="00EB03A1" w:rsidP="00EB03A1">
      <w:pPr>
        <w:numPr>
          <w:ilvl w:val="0"/>
          <w:numId w:val="3"/>
        </w:numPr>
        <w:spacing w:line="360" w:lineRule="auto"/>
        <w:ind w:left="0" w:firstLine="0"/>
        <w:jc w:val="both"/>
        <w:rPr>
          <w:rFonts w:ascii="Arial" w:hAnsi="Arial" w:cs="Arial"/>
        </w:rPr>
      </w:pPr>
      <w:r w:rsidRPr="0016488B">
        <w:rPr>
          <w:rStyle w:val="Textoennegrita"/>
          <w:rFonts w:ascii="Arial" w:hAnsi="Arial" w:cs="Arial"/>
          <w:b w:val="0"/>
        </w:rPr>
        <w:lastRenderedPageBreak/>
        <w:t>A)</w:t>
      </w:r>
      <w:r w:rsidRPr="0016488B">
        <w:rPr>
          <w:rFonts w:ascii="Arial" w:hAnsi="Arial" w:cs="Arial"/>
        </w:rPr>
        <w:t>  Una vez tenga noticia del desistimiento del contrato de local de negocio que pretende el inquilino, puede comunicarle su oposición a dicha decisión y exigirle el cumplimiento del contrato.</w:t>
      </w:r>
    </w:p>
    <w:p w:rsidR="00EB03A1" w:rsidRPr="0016488B" w:rsidRDefault="00EB03A1" w:rsidP="00EB03A1">
      <w:pPr>
        <w:numPr>
          <w:ilvl w:val="0"/>
          <w:numId w:val="4"/>
        </w:numPr>
        <w:spacing w:line="360" w:lineRule="auto"/>
        <w:ind w:left="0" w:firstLine="0"/>
        <w:jc w:val="both"/>
        <w:rPr>
          <w:rFonts w:ascii="Arial" w:hAnsi="Arial" w:cs="Arial"/>
        </w:rPr>
      </w:pPr>
      <w:r w:rsidRPr="0016488B">
        <w:rPr>
          <w:rStyle w:val="Textoennegrita"/>
          <w:rFonts w:ascii="Arial" w:hAnsi="Arial" w:cs="Arial"/>
          <w:b w:val="0"/>
        </w:rPr>
        <w:t>B) </w:t>
      </w:r>
      <w:r w:rsidRPr="0016488B">
        <w:rPr>
          <w:rFonts w:ascii="Arial" w:hAnsi="Arial" w:cs="Arial"/>
        </w:rPr>
        <w:t xml:space="preserve"> Exigirle una </w:t>
      </w:r>
      <w:hyperlink r:id="rId11" w:tgtFrame="_blank" w:history="1">
        <w:r w:rsidRPr="0016488B">
          <w:rPr>
            <w:rStyle w:val="Hipervnculo"/>
            <w:rFonts w:ascii="Arial" w:hAnsi="Arial" w:cs="Arial"/>
            <w:bCs/>
            <w:color w:val="auto"/>
            <w:u w:val="none"/>
          </w:rPr>
          <w:t>indemnización de daños y perjuicios por la resolución unilateral</w:t>
        </w:r>
      </w:hyperlink>
      <w:r w:rsidRPr="0016488B">
        <w:rPr>
          <w:rFonts w:ascii="Arial" w:hAnsi="Arial" w:cs="Arial"/>
        </w:rPr>
        <w:t> del contrato conforme a lo estipulado, aunque ya digo, si se considera clausula penal el Juzgado puede moderarla.</w:t>
      </w:r>
    </w:p>
    <w:p w:rsidR="00EB03A1" w:rsidRPr="0016488B" w:rsidRDefault="00EB03A1" w:rsidP="00EB03A1">
      <w:pPr>
        <w:pStyle w:val="NormalWeb"/>
        <w:spacing w:before="0" w:beforeAutospacing="0" w:after="0" w:afterAutospacing="0" w:line="360" w:lineRule="auto"/>
        <w:jc w:val="both"/>
        <w:rPr>
          <w:rFonts w:ascii="Arial" w:hAnsi="Arial" w:cs="Arial"/>
        </w:rPr>
      </w:pPr>
      <w:r w:rsidRPr="0016488B">
        <w:rPr>
          <w:rFonts w:ascii="Arial" w:hAnsi="Arial" w:cs="Arial"/>
        </w:rPr>
        <w:t> </w:t>
      </w:r>
    </w:p>
    <w:p w:rsidR="00EB03A1" w:rsidRPr="0016488B" w:rsidRDefault="00EB03A1" w:rsidP="00EB03A1">
      <w:pPr>
        <w:pStyle w:val="NormalWeb"/>
        <w:spacing w:before="0" w:beforeAutospacing="0" w:after="0" w:afterAutospacing="0" w:line="360" w:lineRule="auto"/>
        <w:jc w:val="both"/>
        <w:rPr>
          <w:rFonts w:ascii="Arial" w:hAnsi="Arial" w:cs="Arial"/>
        </w:rPr>
      </w:pPr>
      <w:r w:rsidRPr="0016488B">
        <w:rPr>
          <w:rStyle w:val="Textoennegrita"/>
          <w:rFonts w:ascii="Arial" w:hAnsi="Arial" w:cs="Arial"/>
          <w:b w:val="0"/>
        </w:rPr>
        <w:t>4º.- </w:t>
      </w:r>
      <w:r w:rsidRPr="0016488B">
        <w:rPr>
          <w:rFonts w:ascii="Arial" w:hAnsi="Arial" w:cs="Arial"/>
        </w:rPr>
        <w:t xml:space="preserve"> En el contrato de arrendamiento de local </w:t>
      </w:r>
      <w:r w:rsidRPr="0016488B">
        <w:rPr>
          <w:rStyle w:val="Textoennegrita"/>
          <w:rFonts w:ascii="Arial" w:hAnsi="Arial" w:cs="Arial"/>
          <w:b w:val="0"/>
        </w:rPr>
        <w:t>no se ha mencionado nada respecto del desistimiento ni tampoco de la indemnización</w:t>
      </w:r>
      <w:r w:rsidRPr="0016488B">
        <w:rPr>
          <w:rFonts w:ascii="Arial" w:hAnsi="Arial" w:cs="Arial"/>
        </w:rPr>
        <w:t xml:space="preserve"> por los perjuicios que se produzcan si el </w:t>
      </w:r>
      <w:r w:rsidR="0016488B" w:rsidRPr="0016488B">
        <w:rPr>
          <w:rFonts w:ascii="Arial" w:hAnsi="Arial" w:cs="Arial"/>
        </w:rPr>
        <w:t>arrendatario</w:t>
      </w:r>
      <w:r w:rsidRPr="0016488B">
        <w:rPr>
          <w:rFonts w:ascii="Arial" w:hAnsi="Arial" w:cs="Arial"/>
        </w:rPr>
        <w:t xml:space="preserve"> deja el contrato antes del tiempo pactado.</w:t>
      </w:r>
    </w:p>
    <w:p w:rsidR="00EB03A1" w:rsidRPr="0016488B" w:rsidRDefault="00EB03A1" w:rsidP="00EB03A1">
      <w:pPr>
        <w:pStyle w:val="NormalWeb"/>
        <w:spacing w:before="0" w:beforeAutospacing="0" w:after="0" w:afterAutospacing="0" w:line="360" w:lineRule="auto"/>
        <w:jc w:val="both"/>
        <w:rPr>
          <w:rFonts w:ascii="Arial" w:hAnsi="Arial" w:cs="Arial"/>
        </w:rPr>
      </w:pPr>
      <w:r w:rsidRPr="0016488B">
        <w:rPr>
          <w:rFonts w:ascii="Arial" w:hAnsi="Arial" w:cs="Arial"/>
        </w:rPr>
        <w:t xml:space="preserve">En estos casos, </w:t>
      </w:r>
      <w:proofErr w:type="gramStart"/>
      <w:r w:rsidRPr="0016488B">
        <w:rPr>
          <w:rFonts w:ascii="Arial" w:hAnsi="Arial" w:cs="Arial"/>
        </w:rPr>
        <w:t>puede</w:t>
      </w:r>
      <w:proofErr w:type="gramEnd"/>
      <w:r w:rsidRPr="0016488B">
        <w:rPr>
          <w:rFonts w:ascii="Arial" w:hAnsi="Arial" w:cs="Arial"/>
        </w:rPr>
        <w:t xml:space="preserve"> ocurrir dos cosas en el supuesto de que el inquilino abandone antes de tiempo:</w:t>
      </w:r>
    </w:p>
    <w:p w:rsidR="0016488B" w:rsidRPr="0016488B" w:rsidRDefault="0016488B" w:rsidP="00EB03A1">
      <w:pPr>
        <w:pStyle w:val="NormalWeb"/>
        <w:spacing w:before="0" w:beforeAutospacing="0" w:after="0" w:afterAutospacing="0" w:line="360" w:lineRule="auto"/>
        <w:jc w:val="both"/>
        <w:rPr>
          <w:rFonts w:ascii="Arial" w:hAnsi="Arial" w:cs="Arial"/>
        </w:rPr>
      </w:pPr>
    </w:p>
    <w:p w:rsidR="00EB03A1" w:rsidRPr="0016488B" w:rsidRDefault="00EB03A1" w:rsidP="00EB03A1">
      <w:pPr>
        <w:numPr>
          <w:ilvl w:val="0"/>
          <w:numId w:val="5"/>
        </w:numPr>
        <w:spacing w:line="360" w:lineRule="auto"/>
        <w:ind w:left="0" w:firstLine="0"/>
        <w:jc w:val="both"/>
        <w:rPr>
          <w:rStyle w:val="Textoennegrita"/>
          <w:rFonts w:ascii="Arial" w:hAnsi="Arial" w:cs="Arial"/>
          <w:b w:val="0"/>
          <w:bCs w:val="0"/>
        </w:rPr>
      </w:pPr>
      <w:r w:rsidRPr="0016488B">
        <w:rPr>
          <w:rStyle w:val="Textoennegrita"/>
          <w:rFonts w:ascii="Arial" w:hAnsi="Arial" w:cs="Arial"/>
          <w:b w:val="0"/>
        </w:rPr>
        <w:t>a)</w:t>
      </w:r>
      <w:r w:rsidRPr="0016488B">
        <w:rPr>
          <w:rFonts w:ascii="Arial" w:hAnsi="Arial" w:cs="Arial"/>
        </w:rPr>
        <w:t xml:space="preserve">  Si </w:t>
      </w:r>
      <w:r w:rsidRPr="0016488B">
        <w:rPr>
          <w:rStyle w:val="Textoennegrita"/>
          <w:rFonts w:ascii="Arial" w:hAnsi="Arial" w:cs="Arial"/>
          <w:b w:val="0"/>
        </w:rPr>
        <w:t>no se acreditan</w:t>
      </w:r>
      <w:r w:rsidRPr="0016488B">
        <w:rPr>
          <w:rFonts w:ascii="Arial" w:hAnsi="Arial" w:cs="Arial"/>
        </w:rPr>
        <w:t xml:space="preserve"> por el arrendador perjuicios concretos, el Tribunal Supremo entiende que cabrá una indemnización por resolución anticipada de una mensualidad de renta por cada año que reste por cumplir. Vienen aplicando por analogía lo dispuesto en el</w:t>
      </w:r>
      <w:r w:rsidRPr="0016488B">
        <w:rPr>
          <w:rStyle w:val="Textoennegrita"/>
          <w:rFonts w:ascii="Arial" w:hAnsi="Arial" w:cs="Arial"/>
          <w:b w:val="0"/>
        </w:rPr>
        <w:t xml:space="preserve"> </w:t>
      </w:r>
      <w:hyperlink r:id="rId12" w:tgtFrame="_blank" w:history="1">
        <w:r w:rsidRPr="0016488B">
          <w:rPr>
            <w:rStyle w:val="Hipervnculo"/>
            <w:rFonts w:ascii="Arial" w:hAnsi="Arial" w:cs="Arial"/>
            <w:bCs/>
            <w:color w:val="auto"/>
            <w:u w:val="none"/>
          </w:rPr>
          <w:t xml:space="preserve">art. 11.2 de la </w:t>
        </w:r>
        <w:proofErr w:type="spellStart"/>
        <w:r w:rsidRPr="0016488B">
          <w:rPr>
            <w:rStyle w:val="Hipervnculo"/>
            <w:rFonts w:ascii="Arial" w:hAnsi="Arial" w:cs="Arial"/>
            <w:bCs/>
            <w:color w:val="auto"/>
            <w:u w:val="none"/>
          </w:rPr>
          <w:t>LAU</w:t>
        </w:r>
        <w:proofErr w:type="spellEnd"/>
        <w:r w:rsidRPr="0016488B">
          <w:rPr>
            <w:rStyle w:val="Hipervnculo"/>
            <w:rFonts w:ascii="Arial" w:hAnsi="Arial" w:cs="Arial"/>
            <w:bCs/>
            <w:color w:val="auto"/>
            <w:u w:val="none"/>
          </w:rPr>
          <w:t xml:space="preserve"> </w:t>
        </w:r>
      </w:hyperlink>
      <w:r w:rsidRPr="0016488B">
        <w:rPr>
          <w:rStyle w:val="Textoennegrita"/>
          <w:rFonts w:ascii="Arial" w:hAnsi="Arial" w:cs="Arial"/>
          <w:b w:val="0"/>
        </w:rPr>
        <w:t>para las viviendas.</w:t>
      </w:r>
    </w:p>
    <w:p w:rsidR="0016488B" w:rsidRPr="0016488B" w:rsidRDefault="0016488B" w:rsidP="0016488B">
      <w:pPr>
        <w:spacing w:line="360" w:lineRule="auto"/>
        <w:jc w:val="both"/>
        <w:rPr>
          <w:rFonts w:ascii="Arial" w:hAnsi="Arial" w:cs="Arial"/>
        </w:rPr>
      </w:pPr>
    </w:p>
    <w:p w:rsidR="00EB03A1" w:rsidRPr="0016488B" w:rsidRDefault="00EB03A1" w:rsidP="00EB03A1">
      <w:pPr>
        <w:numPr>
          <w:ilvl w:val="0"/>
          <w:numId w:val="6"/>
        </w:numPr>
        <w:spacing w:line="360" w:lineRule="auto"/>
        <w:ind w:left="0" w:firstLine="0"/>
        <w:jc w:val="both"/>
        <w:rPr>
          <w:rFonts w:ascii="Arial" w:hAnsi="Arial" w:cs="Arial"/>
        </w:rPr>
      </w:pPr>
      <w:r w:rsidRPr="0016488B">
        <w:rPr>
          <w:rStyle w:val="Textoennegrita"/>
          <w:rFonts w:ascii="Arial" w:hAnsi="Arial" w:cs="Arial"/>
          <w:b w:val="0"/>
        </w:rPr>
        <w:t>b)</w:t>
      </w:r>
      <w:r w:rsidRPr="0016488B">
        <w:rPr>
          <w:rFonts w:ascii="Arial" w:hAnsi="Arial" w:cs="Arial"/>
        </w:rPr>
        <w:t xml:space="preserve">  Si </w:t>
      </w:r>
      <w:r w:rsidRPr="0016488B">
        <w:rPr>
          <w:rStyle w:val="Textoennegrita"/>
          <w:rFonts w:ascii="Arial" w:hAnsi="Arial" w:cs="Arial"/>
          <w:b w:val="0"/>
        </w:rPr>
        <w:t>se acreditan perjuicios</w:t>
      </w:r>
      <w:r w:rsidRPr="0016488B">
        <w:rPr>
          <w:rFonts w:ascii="Arial" w:hAnsi="Arial" w:cs="Arial"/>
        </w:rPr>
        <w:t xml:space="preserve"> de “</w:t>
      </w:r>
      <w:r w:rsidRPr="0016488B">
        <w:rPr>
          <w:rStyle w:val="Textoennegrita"/>
          <w:rFonts w:ascii="Arial" w:hAnsi="Arial" w:cs="Arial"/>
          <w:b w:val="0"/>
          <w:iCs/>
        </w:rPr>
        <w:t>mayor calado</w:t>
      </w:r>
      <w:r w:rsidRPr="0016488B">
        <w:rPr>
          <w:rFonts w:ascii="Arial" w:hAnsi="Arial" w:cs="Arial"/>
        </w:rPr>
        <w:t xml:space="preserve">” por esa resolución anticipada, el </w:t>
      </w:r>
      <w:r w:rsidRPr="0016488B">
        <w:rPr>
          <w:rStyle w:val="Textoennegrita"/>
          <w:rFonts w:ascii="Arial" w:hAnsi="Arial" w:cs="Arial"/>
          <w:b w:val="0"/>
        </w:rPr>
        <w:t>Tribunal Supremo en sentencia de 11.02.2016</w:t>
      </w:r>
      <w:r w:rsidRPr="0016488B">
        <w:rPr>
          <w:rFonts w:ascii="Arial" w:hAnsi="Arial" w:cs="Arial"/>
        </w:rPr>
        <w:t xml:space="preserve"> ha confirmado una indemnización de 5 mensualidades de renta por cada año que restaba por cumplir.</w:t>
      </w:r>
    </w:p>
    <w:p w:rsidR="00EB03A1" w:rsidRPr="0016488B" w:rsidRDefault="00EB03A1" w:rsidP="0016488B">
      <w:pPr>
        <w:pStyle w:val="NormalWeb"/>
        <w:spacing w:before="0" w:beforeAutospacing="0" w:after="0" w:afterAutospacing="0" w:line="360" w:lineRule="auto"/>
        <w:jc w:val="both"/>
        <w:rPr>
          <w:rFonts w:ascii="Arial" w:hAnsi="Arial" w:cs="Arial"/>
        </w:rPr>
      </w:pPr>
      <w:r w:rsidRPr="0016488B">
        <w:rPr>
          <w:rFonts w:ascii="Arial" w:hAnsi="Arial" w:cs="Arial"/>
        </w:rPr>
        <w:t> </w:t>
      </w:r>
    </w:p>
    <w:p w:rsidR="00EB03A1" w:rsidRPr="0016488B" w:rsidRDefault="0016488B" w:rsidP="00EB03A1">
      <w:pPr>
        <w:spacing w:line="360" w:lineRule="auto"/>
        <w:jc w:val="both"/>
        <w:outlineLvl w:val="0"/>
        <w:rPr>
          <w:rFonts w:ascii="Arial" w:hAnsi="Arial" w:cs="Arial"/>
        </w:rPr>
      </w:pPr>
      <w:r w:rsidRPr="0016488B">
        <w:rPr>
          <w:rFonts w:ascii="Arial" w:hAnsi="Arial" w:cs="Arial"/>
          <w:bCs/>
          <w:kern w:val="36"/>
        </w:rPr>
        <w:t>Ahora bien, d</w:t>
      </w:r>
      <w:r w:rsidR="00EB03A1" w:rsidRPr="0016488B">
        <w:rPr>
          <w:rFonts w:ascii="Arial" w:hAnsi="Arial" w:cs="Arial"/>
        </w:rPr>
        <w:t>ebido a la acuciada crisis, ha habido un incremento de situaciones en las que el arrendatario se ha encontrado con la imposibilidad de continuar con su negocio y por tanto, se encuentra con la necesidad de resolver de forma anticipada y unilateral el contrato de arrendamiento. </w:t>
      </w:r>
    </w:p>
    <w:p w:rsidR="00EB03A1" w:rsidRPr="0016488B" w:rsidRDefault="00EB03A1" w:rsidP="00EB03A1">
      <w:pPr>
        <w:spacing w:line="360" w:lineRule="auto"/>
        <w:jc w:val="both"/>
        <w:outlineLvl w:val="0"/>
        <w:rPr>
          <w:rFonts w:ascii="Arial" w:hAnsi="Arial" w:cs="Arial"/>
          <w:bCs/>
          <w:kern w:val="36"/>
        </w:rPr>
      </w:pPr>
    </w:p>
    <w:p w:rsidR="00EB03A1" w:rsidRPr="0016488B" w:rsidRDefault="00EB03A1" w:rsidP="00EB03A1">
      <w:pPr>
        <w:spacing w:line="360" w:lineRule="auto"/>
        <w:jc w:val="both"/>
        <w:rPr>
          <w:rFonts w:ascii="Arial" w:hAnsi="Arial" w:cs="Arial"/>
        </w:rPr>
      </w:pPr>
      <w:r w:rsidRPr="0016488B">
        <w:rPr>
          <w:rFonts w:ascii="Arial" w:hAnsi="Arial" w:cs="Arial"/>
        </w:rPr>
        <w:lastRenderedPageBreak/>
        <w:t xml:space="preserve">La cuestión que tratamos en este artículo es si el arrendatario puede encontrarse con que el arrendador le puede </w:t>
      </w:r>
      <w:r w:rsidRPr="0016488B">
        <w:rPr>
          <w:rFonts w:ascii="Arial" w:hAnsi="Arial" w:cs="Arial"/>
          <w:bCs/>
        </w:rPr>
        <w:t>exigir el cumplimiento</w:t>
      </w:r>
      <w:r w:rsidRPr="0016488B">
        <w:rPr>
          <w:rFonts w:ascii="Arial" w:hAnsi="Arial" w:cs="Arial"/>
        </w:rPr>
        <w:t xml:space="preserve"> del contrato y si, además le puede solicitar una </w:t>
      </w:r>
      <w:r w:rsidRPr="0016488B">
        <w:rPr>
          <w:rFonts w:ascii="Arial" w:hAnsi="Arial" w:cs="Arial"/>
          <w:bCs/>
        </w:rPr>
        <w:t>indemnización por los daños</w:t>
      </w:r>
      <w:r w:rsidRPr="0016488B">
        <w:rPr>
          <w:rFonts w:ascii="Arial" w:hAnsi="Arial" w:cs="Arial"/>
        </w:rPr>
        <w:t xml:space="preserve"> derivados de la resolución de dicho contrato.</w:t>
      </w:r>
    </w:p>
    <w:p w:rsidR="00EB03A1" w:rsidRPr="0016488B" w:rsidRDefault="00EB03A1" w:rsidP="00EB03A1">
      <w:pPr>
        <w:spacing w:line="360" w:lineRule="auto"/>
        <w:jc w:val="both"/>
        <w:rPr>
          <w:rFonts w:ascii="Arial" w:hAnsi="Arial" w:cs="Arial"/>
        </w:rPr>
      </w:pPr>
    </w:p>
    <w:p w:rsidR="00EB03A1" w:rsidRPr="0016488B" w:rsidRDefault="00EB03A1" w:rsidP="00EB03A1">
      <w:pPr>
        <w:spacing w:line="360" w:lineRule="auto"/>
        <w:jc w:val="both"/>
        <w:rPr>
          <w:rFonts w:ascii="Arial" w:hAnsi="Arial" w:cs="Arial"/>
        </w:rPr>
      </w:pPr>
      <w:r w:rsidRPr="0016488B">
        <w:rPr>
          <w:rFonts w:ascii="Arial" w:hAnsi="Arial" w:cs="Arial"/>
        </w:rPr>
        <w:t>Siempre que no haya nada estipulado en las clausulas del contrato, la ley aplicable será la general que rige en todos los contratos, es decir, las normas dispuestas en el Código Civil y, más concretamente en sus artículos 1.091,1.101, 1.124, 1.256, 1.258,1.565 y 1.568.</w:t>
      </w:r>
    </w:p>
    <w:p w:rsidR="0016488B" w:rsidRPr="0016488B" w:rsidRDefault="0016488B" w:rsidP="00EB03A1">
      <w:pPr>
        <w:spacing w:line="360" w:lineRule="auto"/>
        <w:jc w:val="both"/>
        <w:rPr>
          <w:rFonts w:ascii="Arial" w:hAnsi="Arial" w:cs="Arial"/>
        </w:rPr>
      </w:pPr>
    </w:p>
    <w:p w:rsidR="00EB03A1" w:rsidRPr="0016488B" w:rsidRDefault="00EB03A1" w:rsidP="00EB03A1">
      <w:pPr>
        <w:spacing w:line="360" w:lineRule="auto"/>
        <w:jc w:val="both"/>
        <w:rPr>
          <w:rFonts w:ascii="Arial" w:hAnsi="Arial" w:cs="Arial"/>
        </w:rPr>
      </w:pPr>
      <w:r w:rsidRPr="0016488B">
        <w:rPr>
          <w:rFonts w:ascii="Arial" w:hAnsi="Arial" w:cs="Arial"/>
        </w:rPr>
        <w:t xml:space="preserve">Dicho lo anterior, conforme a la aplicación de los artículos anteriormente indicados del Código Civil, </w:t>
      </w:r>
      <w:r w:rsidRPr="0016488B">
        <w:rPr>
          <w:rFonts w:ascii="Arial" w:hAnsi="Arial" w:cs="Arial"/>
          <w:bCs/>
        </w:rPr>
        <w:t>el arrendatario debe saber que el arrendador tiene dos opciones</w:t>
      </w:r>
      <w:r w:rsidRPr="0016488B">
        <w:rPr>
          <w:rFonts w:ascii="Arial" w:hAnsi="Arial" w:cs="Arial"/>
        </w:rPr>
        <w:t>:</w:t>
      </w:r>
    </w:p>
    <w:p w:rsidR="00EB03A1" w:rsidRPr="0016488B" w:rsidRDefault="00EB03A1" w:rsidP="00EB03A1">
      <w:pPr>
        <w:spacing w:line="360" w:lineRule="auto"/>
        <w:jc w:val="both"/>
        <w:rPr>
          <w:rFonts w:ascii="Arial" w:hAnsi="Arial" w:cs="Arial"/>
        </w:rPr>
      </w:pPr>
    </w:p>
    <w:p w:rsidR="00EB03A1" w:rsidRPr="0016488B" w:rsidRDefault="00EB03A1" w:rsidP="0016488B">
      <w:pPr>
        <w:pStyle w:val="Prrafodelista"/>
        <w:numPr>
          <w:ilvl w:val="1"/>
          <w:numId w:val="5"/>
        </w:numPr>
        <w:spacing w:line="360" w:lineRule="auto"/>
        <w:jc w:val="both"/>
        <w:rPr>
          <w:rFonts w:ascii="Arial" w:hAnsi="Arial" w:cs="Arial"/>
          <w:sz w:val="24"/>
          <w:szCs w:val="24"/>
        </w:rPr>
      </w:pPr>
      <w:r w:rsidRPr="0016488B">
        <w:rPr>
          <w:rFonts w:ascii="Arial" w:hAnsi="Arial" w:cs="Arial"/>
          <w:sz w:val="24"/>
          <w:szCs w:val="24"/>
        </w:rPr>
        <w:t>puede exigir el cumplimiento del contrato hasta su finalización, en base a lo establecido en el Código Civil, que considera que con relación al arrendamiento de fincas rústicas y urbanas,  si se ha hecho por tiempo determinado, concluye el día prefijado para ello</w:t>
      </w:r>
    </w:p>
    <w:p w:rsidR="00EB03A1" w:rsidRPr="0016488B" w:rsidRDefault="00EB03A1" w:rsidP="00EB03A1">
      <w:pPr>
        <w:pStyle w:val="Prrafodelista"/>
        <w:numPr>
          <w:ilvl w:val="1"/>
          <w:numId w:val="5"/>
        </w:numPr>
        <w:spacing w:line="360" w:lineRule="auto"/>
        <w:jc w:val="both"/>
        <w:rPr>
          <w:rFonts w:ascii="Arial" w:hAnsi="Arial" w:cs="Arial"/>
          <w:sz w:val="24"/>
          <w:szCs w:val="24"/>
        </w:rPr>
      </w:pPr>
      <w:r w:rsidRPr="0016488B">
        <w:rPr>
          <w:rFonts w:ascii="Arial" w:hAnsi="Arial" w:cs="Arial"/>
          <w:sz w:val="24"/>
          <w:szCs w:val="24"/>
        </w:rPr>
        <w:t xml:space="preserve">puede solicitar resolución del contrato si existe incumplimiento del arrendatario, con el resarcimiento de daños y perjuicios y abono de intereses.  </w:t>
      </w:r>
    </w:p>
    <w:p w:rsidR="00EB03A1" w:rsidRPr="0016488B" w:rsidRDefault="00EB03A1" w:rsidP="00EB03A1">
      <w:pPr>
        <w:spacing w:line="360" w:lineRule="auto"/>
        <w:jc w:val="both"/>
        <w:rPr>
          <w:rFonts w:ascii="Arial" w:hAnsi="Arial" w:cs="Arial"/>
        </w:rPr>
      </w:pPr>
      <w:r w:rsidRPr="0016488B">
        <w:rPr>
          <w:rFonts w:ascii="Arial" w:hAnsi="Arial" w:cs="Arial"/>
        </w:rPr>
        <w:t xml:space="preserve">La base jurídica en la que apoyar el derecho del arrendador a solicitar el cumplimiento del contrato o bien la resolución del mismo es diversa. </w:t>
      </w:r>
    </w:p>
    <w:p w:rsidR="00EB03A1" w:rsidRPr="0016488B" w:rsidRDefault="00EB03A1" w:rsidP="00EB03A1">
      <w:pPr>
        <w:spacing w:line="360" w:lineRule="auto"/>
        <w:jc w:val="both"/>
        <w:rPr>
          <w:rFonts w:ascii="Arial" w:hAnsi="Arial" w:cs="Arial"/>
        </w:rPr>
      </w:pPr>
    </w:p>
    <w:p w:rsidR="00EB03A1" w:rsidRPr="0016488B" w:rsidRDefault="00EB03A1" w:rsidP="00EB03A1">
      <w:pPr>
        <w:spacing w:line="360" w:lineRule="auto"/>
        <w:jc w:val="both"/>
        <w:rPr>
          <w:rFonts w:ascii="Arial" w:hAnsi="Arial" w:cs="Arial"/>
        </w:rPr>
      </w:pPr>
      <w:r w:rsidRPr="0016488B">
        <w:rPr>
          <w:rFonts w:ascii="Arial" w:hAnsi="Arial" w:cs="Arial"/>
        </w:rPr>
        <w:t>Primera base jurídica: los artículos 1.101 y 1.124, en concordancia con el 1.568, del Código Civil puesto que otorgan este derecho al perjudicado en la relación contractual – el arrendador- , siempre que el arrendatario no haya cumplido sus obligaciones</w:t>
      </w:r>
    </w:p>
    <w:p w:rsidR="00EB03A1" w:rsidRPr="0016488B" w:rsidRDefault="00EB03A1" w:rsidP="00EB03A1">
      <w:pPr>
        <w:spacing w:line="360" w:lineRule="auto"/>
        <w:jc w:val="both"/>
        <w:rPr>
          <w:rFonts w:ascii="Arial" w:hAnsi="Arial" w:cs="Arial"/>
        </w:rPr>
      </w:pPr>
    </w:p>
    <w:p w:rsidR="00EB03A1" w:rsidRPr="0016488B" w:rsidRDefault="00EB03A1" w:rsidP="00EB03A1">
      <w:pPr>
        <w:spacing w:line="360" w:lineRule="auto"/>
        <w:jc w:val="both"/>
        <w:rPr>
          <w:rFonts w:ascii="Arial" w:hAnsi="Arial" w:cs="Arial"/>
        </w:rPr>
      </w:pPr>
      <w:r w:rsidRPr="0016488B">
        <w:rPr>
          <w:rFonts w:ascii="Arial" w:hAnsi="Arial" w:cs="Arial"/>
        </w:rPr>
        <w:t>Segunda base jurídica: conforme al  artículo 1.256 del Código Civil, por el cual, la validez y el cumplimiento de los contratos no pueden dejarse al arbitrio de uno solo de los contratantes, pues, de lo contrario se estaría permitiendo al arrendatario poner fin al arrendamiento a su conveniencia e interés.</w:t>
      </w:r>
    </w:p>
    <w:p w:rsidR="00EB03A1" w:rsidRPr="0016488B" w:rsidRDefault="00EB03A1" w:rsidP="00EB03A1">
      <w:pPr>
        <w:spacing w:line="360" w:lineRule="auto"/>
        <w:jc w:val="both"/>
        <w:rPr>
          <w:rFonts w:ascii="Arial" w:hAnsi="Arial" w:cs="Arial"/>
        </w:rPr>
      </w:pPr>
    </w:p>
    <w:p w:rsidR="00EB03A1" w:rsidRPr="0016488B" w:rsidRDefault="00EB03A1" w:rsidP="00EB03A1">
      <w:pPr>
        <w:spacing w:line="360" w:lineRule="auto"/>
        <w:jc w:val="both"/>
        <w:rPr>
          <w:rFonts w:ascii="Arial" w:hAnsi="Arial" w:cs="Arial"/>
        </w:rPr>
      </w:pPr>
      <w:r w:rsidRPr="0016488B">
        <w:rPr>
          <w:rFonts w:ascii="Arial" w:hAnsi="Arial" w:cs="Arial"/>
        </w:rPr>
        <w:t>Tercera base jurídica: conforme a jurisprudencia existente. Así mismo debemos insistir, en apoyo de nuestra opinión sobre la viabilidad de exigir el cumplimiento integro del contrato, en el carácter y fuerza del Código Civil, por la que el contratante que ha cumplido sus obligaciones está legitimado a exigir el complimiento, y no al revés.</w:t>
      </w:r>
    </w:p>
    <w:p w:rsidR="0016488B" w:rsidRPr="0016488B" w:rsidRDefault="0016488B" w:rsidP="00EB03A1">
      <w:pPr>
        <w:spacing w:line="360" w:lineRule="auto"/>
        <w:jc w:val="both"/>
        <w:rPr>
          <w:rFonts w:ascii="Arial" w:hAnsi="Arial" w:cs="Arial"/>
        </w:rPr>
      </w:pPr>
    </w:p>
    <w:p w:rsidR="00EB03A1" w:rsidRPr="0016488B" w:rsidRDefault="00EB03A1" w:rsidP="00EB03A1">
      <w:pPr>
        <w:spacing w:line="360" w:lineRule="auto"/>
        <w:jc w:val="both"/>
        <w:rPr>
          <w:rFonts w:ascii="Arial" w:hAnsi="Arial" w:cs="Arial"/>
        </w:rPr>
      </w:pPr>
      <w:r w:rsidRPr="0016488B">
        <w:rPr>
          <w:rFonts w:ascii="Arial" w:hAnsi="Arial" w:cs="Arial"/>
        </w:rPr>
        <w:t>A la vista de lo anterior,</w:t>
      </w:r>
      <w:r w:rsidRPr="0016488B">
        <w:rPr>
          <w:rFonts w:ascii="Arial" w:hAnsi="Arial" w:cs="Arial"/>
          <w:bCs/>
        </w:rPr>
        <w:t xml:space="preserve"> no cabe el desistimiento unilateral del arrendatario sin consentimiento del arrendador</w:t>
      </w:r>
      <w:r w:rsidRPr="0016488B">
        <w:rPr>
          <w:rFonts w:ascii="Arial" w:hAnsi="Arial" w:cs="Arial"/>
        </w:rPr>
        <w:t>, salvo que esté prevista en el contrato esa posibilidad, por lo que es posible que el arrendador ejercite el derecho a exigir el cumplimiento contractual.</w:t>
      </w:r>
    </w:p>
    <w:p w:rsidR="00EB03A1" w:rsidRPr="0016488B" w:rsidRDefault="00EB03A1" w:rsidP="00EB03A1">
      <w:pPr>
        <w:spacing w:line="360" w:lineRule="auto"/>
        <w:jc w:val="both"/>
        <w:rPr>
          <w:rFonts w:ascii="Arial" w:hAnsi="Arial" w:cs="Arial"/>
        </w:rPr>
      </w:pPr>
    </w:p>
    <w:p w:rsidR="00EB03A1" w:rsidRPr="0016488B" w:rsidRDefault="00EB03A1" w:rsidP="00EB03A1">
      <w:pPr>
        <w:spacing w:line="360" w:lineRule="auto"/>
        <w:jc w:val="both"/>
        <w:rPr>
          <w:rFonts w:ascii="Arial" w:hAnsi="Arial" w:cs="Arial"/>
        </w:rPr>
      </w:pPr>
      <w:r w:rsidRPr="0016488B">
        <w:rPr>
          <w:rFonts w:ascii="Arial" w:hAnsi="Arial" w:cs="Arial"/>
          <w:bCs/>
        </w:rPr>
        <w:t>¿Y si el arrendatario no pudiera materialmente cumplir el contrato?</w:t>
      </w:r>
      <w:r w:rsidRPr="0016488B">
        <w:rPr>
          <w:rFonts w:ascii="Arial" w:hAnsi="Arial" w:cs="Arial"/>
        </w:rPr>
        <w:t xml:space="preserve"> Es decir, si la obligación de hacer, consistente en el cumplimiento forzoso del contrato, no pudiera imponerse al arrendatario por resultar materialmente imposible. Esto nos llevaría a que el Juez fijase entonces, de entender la existencia de una causa objetiva que impidiere el cumplimiento del contrato, los daños y perjuicios a favor del arrendador derivados del incumplimiento contractual.</w:t>
      </w:r>
    </w:p>
    <w:p w:rsidR="00EB03A1" w:rsidRPr="0016488B" w:rsidRDefault="00EB03A1" w:rsidP="00EB03A1">
      <w:pPr>
        <w:spacing w:line="360" w:lineRule="auto"/>
        <w:jc w:val="both"/>
        <w:rPr>
          <w:rFonts w:ascii="Arial" w:hAnsi="Arial" w:cs="Arial"/>
        </w:rPr>
      </w:pPr>
    </w:p>
    <w:p w:rsidR="00EB03A1" w:rsidRPr="0016488B" w:rsidRDefault="00EB03A1" w:rsidP="00EB03A1">
      <w:pPr>
        <w:spacing w:line="360" w:lineRule="auto"/>
        <w:jc w:val="both"/>
        <w:rPr>
          <w:rFonts w:ascii="Arial" w:hAnsi="Arial" w:cs="Arial"/>
        </w:rPr>
      </w:pPr>
      <w:r w:rsidRPr="0016488B">
        <w:rPr>
          <w:rFonts w:ascii="Arial" w:hAnsi="Arial" w:cs="Arial"/>
          <w:bCs/>
        </w:rPr>
        <w:t>El arrendatario</w:t>
      </w:r>
      <w:r w:rsidRPr="0016488B">
        <w:rPr>
          <w:rFonts w:ascii="Arial" w:hAnsi="Arial" w:cs="Arial"/>
        </w:rPr>
        <w:t xml:space="preserve"> entonces, </w:t>
      </w:r>
      <w:r w:rsidRPr="0016488B">
        <w:rPr>
          <w:rFonts w:ascii="Arial" w:hAnsi="Arial" w:cs="Arial"/>
          <w:bCs/>
        </w:rPr>
        <w:t xml:space="preserve">si tiene la posibilidad de extinguir el contrato </w:t>
      </w:r>
      <w:r w:rsidRPr="0016488B">
        <w:rPr>
          <w:rFonts w:ascii="Arial" w:hAnsi="Arial" w:cs="Arial"/>
        </w:rPr>
        <w:t xml:space="preserve">de arrendamiento si es que no puede cumplirlo </w:t>
      </w:r>
      <w:r w:rsidRPr="0016488B">
        <w:rPr>
          <w:rFonts w:ascii="Arial" w:hAnsi="Arial" w:cs="Arial"/>
          <w:bCs/>
        </w:rPr>
        <w:t>por  causas de índole económico</w:t>
      </w:r>
      <w:r w:rsidRPr="0016488B">
        <w:rPr>
          <w:rFonts w:ascii="Arial" w:hAnsi="Arial" w:cs="Arial"/>
        </w:rPr>
        <w:t xml:space="preserve">, ya que dichas causas, debidamente acreditadas, podrían quedar amparadas dentro de la </w:t>
      </w:r>
      <w:r w:rsidR="0016488B" w:rsidRPr="0016488B">
        <w:rPr>
          <w:rFonts w:ascii="Arial" w:hAnsi="Arial" w:cs="Arial"/>
          <w:b/>
        </w:rPr>
        <w:t xml:space="preserve">CLÁUSULA </w:t>
      </w:r>
      <w:proofErr w:type="spellStart"/>
      <w:r w:rsidR="0016488B" w:rsidRPr="0016488B">
        <w:rPr>
          <w:rFonts w:ascii="Arial" w:hAnsi="Arial" w:cs="Arial"/>
          <w:b/>
          <w:iCs/>
        </w:rPr>
        <w:t>REBUS</w:t>
      </w:r>
      <w:proofErr w:type="spellEnd"/>
      <w:r w:rsidR="0016488B" w:rsidRPr="0016488B">
        <w:rPr>
          <w:rFonts w:ascii="Arial" w:hAnsi="Arial" w:cs="Arial"/>
          <w:b/>
          <w:iCs/>
        </w:rPr>
        <w:t xml:space="preserve"> SIC </w:t>
      </w:r>
      <w:proofErr w:type="spellStart"/>
      <w:r w:rsidR="0016488B" w:rsidRPr="0016488B">
        <w:rPr>
          <w:rFonts w:ascii="Arial" w:hAnsi="Arial" w:cs="Arial"/>
          <w:b/>
          <w:iCs/>
        </w:rPr>
        <w:t>STANTIBUS</w:t>
      </w:r>
      <w:proofErr w:type="spellEnd"/>
      <w:r w:rsidRPr="0016488B">
        <w:rPr>
          <w:rFonts w:ascii="Arial" w:hAnsi="Arial" w:cs="Arial"/>
        </w:rPr>
        <w:t xml:space="preserve">, implícita en todos los contratos, y permitiría resolver, por tanto, el contrato de arrendamiento. </w:t>
      </w:r>
    </w:p>
    <w:p w:rsidR="00EB03A1" w:rsidRPr="0016488B" w:rsidRDefault="00EB03A1" w:rsidP="00EB03A1">
      <w:pPr>
        <w:spacing w:line="360" w:lineRule="auto"/>
        <w:jc w:val="both"/>
        <w:rPr>
          <w:rFonts w:ascii="Arial" w:hAnsi="Arial" w:cs="Arial"/>
        </w:rPr>
      </w:pPr>
    </w:p>
    <w:p w:rsidR="0016488B" w:rsidRPr="0016488B" w:rsidRDefault="00EB03A1" w:rsidP="00EB03A1">
      <w:pPr>
        <w:spacing w:line="360" w:lineRule="auto"/>
        <w:jc w:val="both"/>
        <w:rPr>
          <w:rFonts w:ascii="Arial" w:hAnsi="Arial" w:cs="Arial"/>
        </w:rPr>
      </w:pPr>
      <w:r w:rsidRPr="0016488B">
        <w:rPr>
          <w:rFonts w:ascii="Arial" w:hAnsi="Arial" w:cs="Arial"/>
        </w:rPr>
        <w:t xml:space="preserve">De cualquier forma, dicha cláusula </w:t>
      </w:r>
      <w:r w:rsidRPr="0016488B">
        <w:rPr>
          <w:rFonts w:ascii="Arial" w:hAnsi="Arial" w:cs="Arial"/>
          <w:b/>
        </w:rPr>
        <w:t>no se aplica automáticamente</w:t>
      </w:r>
      <w:r w:rsidRPr="0016488B">
        <w:rPr>
          <w:rFonts w:ascii="Arial" w:hAnsi="Arial" w:cs="Arial"/>
        </w:rPr>
        <w:t xml:space="preserve">. Si bien la doctrina jurisprudencial comúnmente admitida la ha venido  aplicando para el caso de que se produzca una alteración de la base del negocio, ha sido de forma restrictiva por afectar a los principios </w:t>
      </w:r>
      <w:r w:rsidRPr="0016488B">
        <w:rPr>
          <w:rFonts w:ascii="Arial" w:hAnsi="Arial" w:cs="Arial"/>
          <w:iCs/>
        </w:rPr>
        <w:t xml:space="preserve">“pacta </w:t>
      </w:r>
      <w:proofErr w:type="spellStart"/>
      <w:r w:rsidRPr="0016488B">
        <w:rPr>
          <w:rFonts w:ascii="Arial" w:hAnsi="Arial" w:cs="Arial"/>
          <w:iCs/>
        </w:rPr>
        <w:t>sunt</w:t>
      </w:r>
      <w:proofErr w:type="spellEnd"/>
      <w:r w:rsidRPr="0016488B">
        <w:rPr>
          <w:rFonts w:ascii="Arial" w:hAnsi="Arial" w:cs="Arial"/>
          <w:iCs/>
        </w:rPr>
        <w:t xml:space="preserve"> </w:t>
      </w:r>
      <w:proofErr w:type="spellStart"/>
      <w:r w:rsidRPr="0016488B">
        <w:rPr>
          <w:rFonts w:ascii="Arial" w:hAnsi="Arial" w:cs="Arial"/>
          <w:iCs/>
        </w:rPr>
        <w:t>servanda</w:t>
      </w:r>
      <w:proofErr w:type="spellEnd"/>
      <w:r w:rsidRPr="0016488B">
        <w:rPr>
          <w:rFonts w:ascii="Arial" w:hAnsi="Arial" w:cs="Arial"/>
          <w:iCs/>
        </w:rPr>
        <w:t xml:space="preserve">” </w:t>
      </w:r>
      <w:r w:rsidRPr="0016488B">
        <w:rPr>
          <w:rFonts w:ascii="Arial" w:hAnsi="Arial" w:cs="Arial"/>
        </w:rPr>
        <w:t xml:space="preserve">y al de seguridad jurídica recogidos en los artículos 1.091 y 1.258 del Código Civil. </w:t>
      </w:r>
    </w:p>
    <w:p w:rsidR="0016488B" w:rsidRPr="0016488B" w:rsidRDefault="0016488B" w:rsidP="00EB03A1">
      <w:pPr>
        <w:spacing w:line="360" w:lineRule="auto"/>
        <w:jc w:val="both"/>
        <w:rPr>
          <w:rFonts w:ascii="Arial" w:hAnsi="Arial" w:cs="Arial"/>
        </w:rPr>
      </w:pPr>
    </w:p>
    <w:p w:rsidR="00EB03A1" w:rsidRPr="0016488B" w:rsidRDefault="00EB03A1" w:rsidP="00EB03A1">
      <w:pPr>
        <w:spacing w:line="360" w:lineRule="auto"/>
        <w:jc w:val="both"/>
        <w:rPr>
          <w:rFonts w:ascii="Arial" w:hAnsi="Arial" w:cs="Arial"/>
        </w:rPr>
      </w:pPr>
      <w:r w:rsidRPr="0016488B">
        <w:rPr>
          <w:rFonts w:ascii="Arial" w:hAnsi="Arial" w:cs="Arial"/>
        </w:rPr>
        <w:t xml:space="preserve">De manera que se establece como </w:t>
      </w:r>
      <w:r w:rsidRPr="0016488B">
        <w:rPr>
          <w:rFonts w:ascii="Arial" w:hAnsi="Arial" w:cs="Arial"/>
          <w:bCs/>
        </w:rPr>
        <w:t>requisito imprescindible</w:t>
      </w:r>
      <w:r w:rsidRPr="0016488B">
        <w:rPr>
          <w:rFonts w:ascii="Arial" w:hAnsi="Arial" w:cs="Arial"/>
        </w:rPr>
        <w:t xml:space="preserve"> para su aplicación, (i)  una alteración de las circunstancias al momento de cumplir el contrato, con relación a las concurrentes al tiempo de su celebración, (</w:t>
      </w:r>
      <w:proofErr w:type="spellStart"/>
      <w:r w:rsidRPr="0016488B">
        <w:rPr>
          <w:rFonts w:ascii="Arial" w:hAnsi="Arial" w:cs="Arial"/>
        </w:rPr>
        <w:t>ii</w:t>
      </w:r>
      <w:proofErr w:type="spellEnd"/>
      <w:r w:rsidRPr="0016488B">
        <w:rPr>
          <w:rFonts w:ascii="Arial" w:hAnsi="Arial" w:cs="Arial"/>
        </w:rPr>
        <w:t>)  así como una desproporción entre las prestaciones de las partes contratantes que produzcan el imposible cumplimiento material del contrato por la generación de un desequilibrio de las prestaciones asumidas por las partes en el contrato, cuestiones todas ellas deberán ser debidamente probadas.</w:t>
      </w:r>
    </w:p>
    <w:p w:rsidR="00EB03A1" w:rsidRPr="0016488B" w:rsidRDefault="00EB03A1" w:rsidP="00EB03A1">
      <w:pPr>
        <w:spacing w:line="360" w:lineRule="auto"/>
        <w:jc w:val="both"/>
        <w:rPr>
          <w:rFonts w:ascii="Arial" w:hAnsi="Arial" w:cs="Arial"/>
        </w:rPr>
      </w:pPr>
    </w:p>
    <w:p w:rsidR="00EB03A1" w:rsidRPr="0016488B" w:rsidRDefault="00EB03A1" w:rsidP="00EB03A1">
      <w:pPr>
        <w:spacing w:line="360" w:lineRule="auto"/>
        <w:jc w:val="both"/>
        <w:rPr>
          <w:rFonts w:ascii="Arial" w:hAnsi="Arial" w:cs="Arial"/>
        </w:rPr>
      </w:pPr>
      <w:r w:rsidRPr="0016488B">
        <w:rPr>
          <w:rFonts w:ascii="Arial" w:hAnsi="Arial" w:cs="Arial"/>
          <w:bCs/>
        </w:rPr>
        <w:t>El arrendatario, además, asumiría en este caso la carga de la prueba</w:t>
      </w:r>
      <w:r w:rsidRPr="0016488B">
        <w:rPr>
          <w:rFonts w:ascii="Arial" w:hAnsi="Arial" w:cs="Arial"/>
        </w:rPr>
        <w:t xml:space="preserve">. Tendrá que probar la alteración de las circunstancias, al momento de cumplir el contrato, con relación a las existentes al tiempo de su celebración, así como la desproporción y desequilibrio entre las prestaciones de las partes,  ya que corresponde a quien las alegue de conformidad con el artículo 217.3 de la Ley de Enjuiciamiento Civil. Por lo que el arrendatario deberá acreditar la veracidad de las causas económicas alegadas como determinantes para el cese unilateral efectuado. </w:t>
      </w:r>
    </w:p>
    <w:p w:rsidR="00EB03A1" w:rsidRPr="0016488B" w:rsidRDefault="00EB03A1" w:rsidP="00EB03A1">
      <w:pPr>
        <w:spacing w:line="360" w:lineRule="auto"/>
        <w:jc w:val="both"/>
        <w:rPr>
          <w:rFonts w:ascii="Arial" w:hAnsi="Arial" w:cs="Arial"/>
        </w:rPr>
      </w:pPr>
    </w:p>
    <w:p w:rsidR="00EB03A1" w:rsidRPr="0016488B" w:rsidRDefault="00EB03A1" w:rsidP="00EB03A1">
      <w:pPr>
        <w:spacing w:line="360" w:lineRule="auto"/>
        <w:jc w:val="both"/>
        <w:rPr>
          <w:rFonts w:ascii="Arial" w:hAnsi="Arial" w:cs="Arial"/>
        </w:rPr>
      </w:pPr>
      <w:r w:rsidRPr="0016488B">
        <w:rPr>
          <w:rFonts w:ascii="Arial" w:hAnsi="Arial" w:cs="Arial"/>
        </w:rPr>
        <w:t>Para ello, será fundamental el análisis en el procedimiento de sus datos contables, fiscales, económicos y financieros, los cuales reflejarían el estado del negocio y la posibilidad o no de “</w:t>
      </w:r>
      <w:r w:rsidRPr="0016488B">
        <w:rPr>
          <w:rFonts w:ascii="Arial" w:hAnsi="Arial" w:cs="Arial"/>
          <w:iCs/>
        </w:rPr>
        <w:t>sobrevivir económicamente”</w:t>
      </w:r>
      <w:r w:rsidRPr="0016488B">
        <w:rPr>
          <w:rFonts w:ascii="Arial" w:hAnsi="Arial" w:cs="Arial"/>
        </w:rPr>
        <w:t xml:space="preserve">, pues como establece el </w:t>
      </w:r>
      <w:r w:rsidRPr="0016488B">
        <w:rPr>
          <w:rFonts w:ascii="Arial" w:hAnsi="Arial" w:cs="Arial"/>
          <w:iCs/>
        </w:rPr>
        <w:t>Tribunal Supremo en Sentencia de 30 de abril de 2002</w:t>
      </w:r>
      <w:r w:rsidRPr="0016488B">
        <w:rPr>
          <w:rFonts w:ascii="Arial" w:hAnsi="Arial" w:cs="Arial"/>
        </w:rPr>
        <w:t>, l</w:t>
      </w:r>
      <w:r w:rsidRPr="0016488B">
        <w:rPr>
          <w:rFonts w:ascii="Arial" w:hAnsi="Arial" w:cs="Arial"/>
          <w:bCs/>
        </w:rPr>
        <w:t xml:space="preserve">a imposibilidad de la prestación no solo puede ser física o legal, sino también </w:t>
      </w:r>
      <w:r w:rsidRPr="0016488B">
        <w:rPr>
          <w:rFonts w:ascii="Arial" w:hAnsi="Arial" w:cs="Arial"/>
          <w:bCs/>
        </w:rPr>
        <w:lastRenderedPageBreak/>
        <w:t>económica</w:t>
      </w:r>
      <w:r w:rsidRPr="0016488B">
        <w:rPr>
          <w:rFonts w:ascii="Arial" w:hAnsi="Arial" w:cs="Arial"/>
        </w:rPr>
        <w:t>, como cuando no produce ningún beneficio al que ha de recibirla, o cuando, es totalmente ruinosa para él recibirla.</w:t>
      </w:r>
    </w:p>
    <w:p w:rsidR="00EB03A1" w:rsidRPr="0016488B" w:rsidRDefault="00EB03A1" w:rsidP="00EB03A1">
      <w:pPr>
        <w:spacing w:line="360" w:lineRule="auto"/>
        <w:jc w:val="both"/>
        <w:rPr>
          <w:rFonts w:ascii="Arial" w:hAnsi="Arial" w:cs="Arial"/>
        </w:rPr>
      </w:pPr>
    </w:p>
    <w:p w:rsidR="00EB03A1" w:rsidRPr="0016488B" w:rsidRDefault="00EB03A1" w:rsidP="00EB03A1">
      <w:pPr>
        <w:spacing w:line="360" w:lineRule="auto"/>
        <w:jc w:val="both"/>
        <w:rPr>
          <w:rFonts w:ascii="Arial" w:hAnsi="Arial" w:cs="Arial"/>
        </w:rPr>
      </w:pPr>
      <w:r w:rsidRPr="0016488B">
        <w:rPr>
          <w:rFonts w:ascii="Arial" w:hAnsi="Arial" w:cs="Arial"/>
        </w:rPr>
        <w:t xml:space="preserve">Por sentado que </w:t>
      </w:r>
      <w:r w:rsidRPr="0016488B">
        <w:rPr>
          <w:rFonts w:ascii="Arial" w:hAnsi="Arial" w:cs="Arial"/>
          <w:bCs/>
        </w:rPr>
        <w:t>el arrendatario tendrá que enfrentarse a que el arrendador ejerza su derecho a exigir una indemnización por los daños y perjuicios</w:t>
      </w:r>
      <w:r w:rsidRPr="0016488B">
        <w:rPr>
          <w:rFonts w:ascii="Arial" w:hAnsi="Arial" w:cs="Arial"/>
        </w:rPr>
        <w:t xml:space="preserve"> que le haya podido acarrear la resolución anticipada del contrato. La cuestión realmente compleja versa sobre la problemática de la cuantificación de la misma cuando las partes en el contrato no han pactado nada ni en el Código Civil se establece previsión al respecto, por lo que nos lleva a analizar la Jurisprudencia. </w:t>
      </w:r>
    </w:p>
    <w:p w:rsidR="00EB03A1" w:rsidRPr="0016488B" w:rsidRDefault="00EB03A1" w:rsidP="00EB03A1">
      <w:pPr>
        <w:spacing w:line="360" w:lineRule="auto"/>
        <w:jc w:val="both"/>
        <w:rPr>
          <w:rFonts w:ascii="Arial" w:hAnsi="Arial" w:cs="Arial"/>
        </w:rPr>
      </w:pPr>
    </w:p>
    <w:p w:rsidR="00EB03A1" w:rsidRPr="0016488B" w:rsidRDefault="00EB03A1" w:rsidP="00EB03A1">
      <w:pPr>
        <w:spacing w:line="360" w:lineRule="auto"/>
        <w:jc w:val="both"/>
        <w:rPr>
          <w:rFonts w:ascii="Arial" w:hAnsi="Arial" w:cs="Arial"/>
          <w:bCs/>
        </w:rPr>
      </w:pPr>
    </w:p>
    <w:p w:rsidR="00EB03A1" w:rsidRPr="0016488B" w:rsidRDefault="00EB03A1" w:rsidP="00EB03A1">
      <w:pPr>
        <w:spacing w:line="360" w:lineRule="auto"/>
        <w:jc w:val="both"/>
        <w:rPr>
          <w:rFonts w:ascii="Arial" w:hAnsi="Arial" w:cs="Arial"/>
        </w:rPr>
      </w:pPr>
      <w:r w:rsidRPr="0016488B">
        <w:rPr>
          <w:rFonts w:ascii="Arial" w:hAnsi="Arial" w:cs="Arial"/>
          <w:b/>
          <w:bCs/>
        </w:rPr>
        <w:t>La cuantificación de la indemnización</w:t>
      </w:r>
      <w:r w:rsidRPr="0016488B">
        <w:rPr>
          <w:rFonts w:ascii="Arial" w:hAnsi="Arial" w:cs="Arial"/>
        </w:rPr>
        <w:t xml:space="preserve"> ha sido altamente debatida por la jurisprudencia a lo largo de los años y  no ha sido uniforme y constante, defendiéndose en unas ocasiones un criterio de estricta literalidad o de aplicación rigurosa y, en otras, de prudente moderación avivada por la actual crisis económica. </w:t>
      </w:r>
    </w:p>
    <w:p w:rsidR="00EB03A1" w:rsidRPr="0016488B" w:rsidRDefault="00EB03A1" w:rsidP="00EB03A1">
      <w:pPr>
        <w:spacing w:line="360" w:lineRule="auto"/>
        <w:jc w:val="both"/>
        <w:rPr>
          <w:rFonts w:ascii="Arial" w:hAnsi="Arial" w:cs="Arial"/>
        </w:rPr>
      </w:pPr>
    </w:p>
    <w:p w:rsidR="00EB03A1" w:rsidRPr="0016488B" w:rsidRDefault="00EB03A1" w:rsidP="00EB03A1">
      <w:pPr>
        <w:spacing w:line="360" w:lineRule="auto"/>
        <w:jc w:val="both"/>
        <w:rPr>
          <w:rFonts w:ascii="Arial" w:hAnsi="Arial" w:cs="Arial"/>
        </w:rPr>
      </w:pPr>
      <w:r w:rsidRPr="0016488B">
        <w:rPr>
          <w:rFonts w:ascii="Arial" w:hAnsi="Arial" w:cs="Arial"/>
          <w:bCs/>
        </w:rPr>
        <w:t xml:space="preserve">Actualmente, </w:t>
      </w:r>
      <w:r w:rsidRPr="0016488B">
        <w:rPr>
          <w:rFonts w:ascii="Arial" w:hAnsi="Arial" w:cs="Arial"/>
          <w:b/>
          <w:bCs/>
        </w:rPr>
        <w:t>la tendencia para el cálculo de la indemnización es la resultante de la cantidad equivalente a una mensualidad de la renta en vigor por cada año del contrato que reste por cumplir</w:t>
      </w:r>
      <w:r w:rsidRPr="0016488B">
        <w:rPr>
          <w:rFonts w:ascii="Arial" w:hAnsi="Arial" w:cs="Arial"/>
          <w:bCs/>
        </w:rPr>
        <w:t xml:space="preserve"> </w:t>
      </w:r>
      <w:r w:rsidRPr="0016488B">
        <w:rPr>
          <w:rFonts w:ascii="Arial" w:hAnsi="Arial" w:cs="Arial"/>
        </w:rPr>
        <w:t xml:space="preserve">por aplicación analógica del artículo 11.2 de la </w:t>
      </w:r>
      <w:proofErr w:type="spellStart"/>
      <w:r w:rsidRPr="0016488B">
        <w:rPr>
          <w:rFonts w:ascii="Arial" w:hAnsi="Arial" w:cs="Arial"/>
        </w:rPr>
        <w:t>LAU</w:t>
      </w:r>
      <w:proofErr w:type="spellEnd"/>
      <w:r w:rsidRPr="0016488B">
        <w:rPr>
          <w:rFonts w:ascii="Arial" w:hAnsi="Arial" w:cs="Arial"/>
        </w:rPr>
        <w:t xml:space="preserve">. En éste sentido, </w:t>
      </w:r>
      <w:r w:rsidRPr="0016488B">
        <w:rPr>
          <w:rFonts w:ascii="Arial" w:hAnsi="Arial" w:cs="Arial"/>
          <w:iCs/>
        </w:rPr>
        <w:t>Sentencia del Tribunal Supremo de 9 de abril de 2012</w:t>
      </w:r>
      <w:r w:rsidRPr="0016488B">
        <w:rPr>
          <w:rFonts w:ascii="Arial" w:hAnsi="Arial" w:cs="Arial"/>
        </w:rPr>
        <w:t>, la cual marca el criterio indemnizatorio que sigue el Tribunal Supremo para casos de desistimiento unilateral basados en la imposibilidad material de la continuidad del contrato que hubiese quedada debidamente acreditada.</w:t>
      </w:r>
    </w:p>
    <w:p w:rsidR="00EB03A1" w:rsidRPr="0016488B" w:rsidRDefault="00EB03A1" w:rsidP="00EB03A1">
      <w:pPr>
        <w:spacing w:line="360" w:lineRule="auto"/>
        <w:jc w:val="both"/>
        <w:rPr>
          <w:rFonts w:ascii="Arial" w:hAnsi="Arial" w:cs="Arial"/>
        </w:rPr>
      </w:pPr>
    </w:p>
    <w:p w:rsidR="00EB03A1" w:rsidRPr="0016488B" w:rsidRDefault="00EB03A1" w:rsidP="00EB03A1">
      <w:pPr>
        <w:spacing w:line="360" w:lineRule="auto"/>
        <w:jc w:val="both"/>
        <w:rPr>
          <w:rFonts w:ascii="Arial" w:hAnsi="Arial" w:cs="Arial"/>
          <w:iCs/>
        </w:rPr>
      </w:pPr>
      <w:r w:rsidRPr="0016488B">
        <w:rPr>
          <w:rFonts w:ascii="Arial" w:hAnsi="Arial" w:cs="Arial"/>
        </w:rPr>
        <w:t xml:space="preserve">En la década de los años 90, los tribunales aplicaban el criterio riguroso, estableciendo la indemnización en el importe de las rentas que se hubiesen </w:t>
      </w:r>
      <w:r w:rsidRPr="0016488B">
        <w:rPr>
          <w:rFonts w:ascii="Arial" w:hAnsi="Arial" w:cs="Arial"/>
        </w:rPr>
        <w:lastRenderedPageBreak/>
        <w:t xml:space="preserve">devengado hasta el momento en el que el arrendador arriendase de nuevo el inmueble o, dicho de otra manera, las rentas dejadas de percibir hasta que se arrendara nuevamente el local. En apoyo de esta corriente, ya superada jurisprudencialmente, se encuentran entre otras las siguientes </w:t>
      </w:r>
      <w:r w:rsidRPr="0016488B">
        <w:rPr>
          <w:rFonts w:ascii="Arial" w:hAnsi="Arial" w:cs="Arial"/>
          <w:iCs/>
        </w:rPr>
        <w:t xml:space="preserve">Sentencias del Tribunal Supremo de fechas 15 de junio de 1993, 25 de enero de 1996, 23 de mayo de 2001 y 15 de julio de 2002. </w:t>
      </w:r>
    </w:p>
    <w:p w:rsidR="00EB03A1" w:rsidRPr="0016488B" w:rsidRDefault="00EB03A1" w:rsidP="00EB03A1">
      <w:pPr>
        <w:spacing w:line="360" w:lineRule="auto"/>
        <w:jc w:val="both"/>
        <w:rPr>
          <w:rFonts w:ascii="Arial" w:hAnsi="Arial" w:cs="Arial"/>
        </w:rPr>
      </w:pPr>
    </w:p>
    <w:p w:rsidR="00EB03A1" w:rsidRPr="0016488B" w:rsidRDefault="00EB03A1" w:rsidP="00EB03A1">
      <w:pPr>
        <w:spacing w:line="360" w:lineRule="auto"/>
        <w:jc w:val="both"/>
        <w:rPr>
          <w:rFonts w:ascii="Arial" w:hAnsi="Arial" w:cs="Arial"/>
        </w:rPr>
      </w:pPr>
      <w:r w:rsidRPr="0016488B">
        <w:rPr>
          <w:rFonts w:ascii="Arial" w:hAnsi="Arial" w:cs="Arial"/>
        </w:rPr>
        <w:t xml:space="preserve">Dicha tendencia rigorista de los Tribunales fue moderándose con el paso del tiempo y así empezaron a dictarse entre los años 2007 y 2008 sentencias que se inclinan por fijar la indemnización en atención a las circunstancias de cada caso, sin que quepa cifrarla automáticamente en el importe de las rentas dejadas de percibir, sino que deberá resolverse atendiendo a la fehaciente acreditación de los daños efectivamente producidos y a las circunstancias concretas de cada caso en cuestión, como señalan las </w:t>
      </w:r>
      <w:r w:rsidRPr="0016488B">
        <w:rPr>
          <w:rFonts w:ascii="Arial" w:hAnsi="Arial" w:cs="Arial"/>
          <w:iCs/>
        </w:rPr>
        <w:t>Sentencias del Tribunal Supremo de fechas 30 de octubre de 2007 y 2 de octubre de 2008</w:t>
      </w:r>
      <w:r w:rsidRPr="0016488B">
        <w:rPr>
          <w:rFonts w:ascii="Arial" w:hAnsi="Arial" w:cs="Arial"/>
        </w:rPr>
        <w:t>.</w:t>
      </w:r>
    </w:p>
    <w:p w:rsidR="00EB03A1" w:rsidRPr="0016488B" w:rsidRDefault="00EB03A1" w:rsidP="00EB03A1">
      <w:pPr>
        <w:spacing w:line="360" w:lineRule="auto"/>
        <w:jc w:val="both"/>
        <w:rPr>
          <w:rFonts w:ascii="Arial" w:hAnsi="Arial" w:cs="Arial"/>
        </w:rPr>
      </w:pPr>
    </w:p>
    <w:p w:rsidR="00EB03A1" w:rsidRPr="0016488B" w:rsidRDefault="00EB03A1" w:rsidP="00EB03A1">
      <w:pPr>
        <w:spacing w:line="360" w:lineRule="auto"/>
        <w:jc w:val="both"/>
        <w:rPr>
          <w:rFonts w:ascii="Arial" w:hAnsi="Arial" w:cs="Arial"/>
        </w:rPr>
      </w:pPr>
      <w:r w:rsidRPr="0016488B">
        <w:rPr>
          <w:rFonts w:ascii="Arial" w:hAnsi="Arial" w:cs="Arial"/>
        </w:rPr>
        <w:t xml:space="preserve">Por tanto, y a modo de </w:t>
      </w:r>
      <w:r w:rsidRPr="0016488B">
        <w:rPr>
          <w:rFonts w:ascii="Arial" w:hAnsi="Arial" w:cs="Arial"/>
          <w:bCs/>
        </w:rPr>
        <w:t>conclusión</w:t>
      </w:r>
      <w:r w:rsidRPr="0016488B">
        <w:rPr>
          <w:rFonts w:ascii="Arial" w:hAnsi="Arial" w:cs="Arial"/>
        </w:rPr>
        <w:t>, podemos manifestar que:</w:t>
      </w:r>
    </w:p>
    <w:p w:rsidR="00EB03A1" w:rsidRPr="0016488B" w:rsidRDefault="00EB03A1" w:rsidP="00EB03A1">
      <w:pPr>
        <w:spacing w:line="360" w:lineRule="auto"/>
        <w:jc w:val="both"/>
        <w:rPr>
          <w:rFonts w:ascii="Arial" w:hAnsi="Arial" w:cs="Arial"/>
        </w:rPr>
      </w:pPr>
    </w:p>
    <w:p w:rsidR="00EB03A1" w:rsidRPr="0016488B" w:rsidRDefault="00EB03A1" w:rsidP="00EB03A1">
      <w:pPr>
        <w:spacing w:line="360" w:lineRule="auto"/>
        <w:jc w:val="both"/>
        <w:rPr>
          <w:rFonts w:ascii="Arial" w:hAnsi="Arial" w:cs="Arial"/>
        </w:rPr>
      </w:pPr>
      <w:r w:rsidRPr="0016488B">
        <w:rPr>
          <w:rFonts w:ascii="Arial" w:hAnsi="Arial" w:cs="Arial"/>
          <w:b/>
        </w:rPr>
        <w:t>El arrendatario podría resolver anticipadamente el contrato de arrendamiento si le fuera de imposible acatamiento</w:t>
      </w:r>
      <w:r w:rsidRPr="0016488B">
        <w:rPr>
          <w:rFonts w:ascii="Arial" w:hAnsi="Arial" w:cs="Arial"/>
        </w:rPr>
        <w:t xml:space="preserve">. Si el arrendatario no lograse acreditar la veracidad de lo alegado en su resolución, vendría obligado al cumplimiento integro del contrato. </w:t>
      </w:r>
    </w:p>
    <w:p w:rsidR="00EB03A1" w:rsidRPr="0016488B" w:rsidRDefault="00EB03A1" w:rsidP="00EB03A1">
      <w:pPr>
        <w:spacing w:line="360" w:lineRule="auto"/>
        <w:jc w:val="both"/>
        <w:rPr>
          <w:rFonts w:ascii="Arial" w:hAnsi="Arial" w:cs="Arial"/>
        </w:rPr>
      </w:pPr>
    </w:p>
    <w:p w:rsidR="00EB03A1" w:rsidRPr="0016488B" w:rsidRDefault="00EB03A1" w:rsidP="00EB03A1">
      <w:pPr>
        <w:spacing w:line="360" w:lineRule="auto"/>
        <w:jc w:val="both"/>
        <w:rPr>
          <w:rFonts w:ascii="Arial" w:hAnsi="Arial" w:cs="Arial"/>
        </w:rPr>
      </w:pPr>
      <w:r w:rsidRPr="0016488B">
        <w:rPr>
          <w:rFonts w:ascii="Arial" w:hAnsi="Arial" w:cs="Arial"/>
        </w:rPr>
        <w:t>En cuanto a la determinación de la indemnización, en caso de imposible cumplimiento del contrato, sería ponderada por el juzgador, entendiendo la jurisprudencia más reciente que el monto de un mes de renta por año de contrato que quedase por cumplir es una cifra ajustada, más cualquier daño y perjuicio efectivo que se pudiese acreditar.</w:t>
      </w:r>
    </w:p>
    <w:p w:rsidR="00EB03A1" w:rsidRPr="0016488B" w:rsidRDefault="00EB03A1" w:rsidP="00EB03A1">
      <w:pPr>
        <w:spacing w:line="360" w:lineRule="auto"/>
        <w:jc w:val="both"/>
        <w:rPr>
          <w:rFonts w:ascii="Arial" w:hAnsi="Arial" w:cs="Arial"/>
        </w:rPr>
      </w:pPr>
    </w:p>
    <w:p w:rsidR="00EB03A1" w:rsidRPr="0016488B" w:rsidRDefault="00EB03A1" w:rsidP="0016488B">
      <w:pPr>
        <w:pStyle w:val="Ttulo1"/>
        <w:spacing w:before="0" w:beforeAutospacing="0" w:after="0" w:afterAutospacing="0" w:line="360" w:lineRule="auto"/>
        <w:jc w:val="both"/>
        <w:rPr>
          <w:rFonts w:ascii="Arial" w:hAnsi="Arial" w:cs="Arial"/>
          <w:b w:val="0"/>
          <w:sz w:val="24"/>
          <w:szCs w:val="24"/>
        </w:rPr>
      </w:pPr>
      <w:r w:rsidRPr="0016488B">
        <w:rPr>
          <w:rFonts w:ascii="Arial" w:hAnsi="Arial" w:cs="Arial"/>
          <w:b w:val="0"/>
          <w:sz w:val="24"/>
          <w:szCs w:val="24"/>
        </w:rPr>
        <w:lastRenderedPageBreak/>
        <w:t>Desistimiento del arrendamiento de local</w:t>
      </w:r>
      <w:r w:rsidR="0016488B" w:rsidRPr="0016488B">
        <w:rPr>
          <w:rFonts w:ascii="Arial" w:hAnsi="Arial" w:cs="Arial"/>
          <w:b w:val="0"/>
          <w:sz w:val="24"/>
          <w:szCs w:val="24"/>
        </w:rPr>
        <w:t xml:space="preserve"> </w:t>
      </w:r>
      <w:r w:rsidRPr="0016488B">
        <w:rPr>
          <w:rFonts w:ascii="Arial" w:hAnsi="Arial" w:cs="Arial"/>
          <w:b w:val="0"/>
          <w:sz w:val="24"/>
          <w:szCs w:val="24"/>
        </w:rPr>
        <w:t>¿A cuánto ascendería la indemnización por desistimiento del arrendamiento de local de negocio si el inquilino deja el local antes de que finalice el plazo de duración?</w:t>
      </w:r>
    </w:p>
    <w:p w:rsidR="00EB03A1" w:rsidRPr="0016488B" w:rsidRDefault="00EB03A1" w:rsidP="00EB03A1">
      <w:pPr>
        <w:rPr>
          <w:rFonts w:ascii="Arial" w:hAnsi="Arial" w:cs="Arial"/>
        </w:rPr>
      </w:pPr>
    </w:p>
    <w:p w:rsidR="00EB03A1" w:rsidRPr="0016488B" w:rsidRDefault="00EB03A1" w:rsidP="00EB03A1">
      <w:pPr>
        <w:pStyle w:val="NormalWeb"/>
        <w:spacing w:before="0" w:beforeAutospacing="0" w:after="0" w:afterAutospacing="0" w:line="360" w:lineRule="auto"/>
        <w:jc w:val="both"/>
        <w:rPr>
          <w:rFonts w:ascii="Arial" w:hAnsi="Arial" w:cs="Arial"/>
        </w:rPr>
      </w:pPr>
      <w:r w:rsidRPr="0016488B">
        <w:rPr>
          <w:rFonts w:ascii="Arial" w:hAnsi="Arial" w:cs="Arial"/>
        </w:rPr>
        <w:t xml:space="preserve">Vamos a intentar responder a la pregunta de a cuánto ascendería el importe de la </w:t>
      </w:r>
      <w:r w:rsidR="0016488B" w:rsidRPr="0016488B">
        <w:rPr>
          <w:rStyle w:val="Textoennegrita"/>
          <w:rFonts w:ascii="Arial" w:hAnsi="Arial" w:cs="Arial"/>
          <w:b w:val="0"/>
        </w:rPr>
        <w:t>indemnización</w:t>
      </w:r>
      <w:r w:rsidRPr="0016488B">
        <w:rPr>
          <w:rStyle w:val="Textoennegrita"/>
          <w:rFonts w:ascii="Arial" w:hAnsi="Arial" w:cs="Arial"/>
          <w:b w:val="0"/>
        </w:rPr>
        <w:t xml:space="preserve"> en el desistimiento del arrendamiento de local</w:t>
      </w:r>
      <w:r w:rsidRPr="0016488B">
        <w:rPr>
          <w:rFonts w:ascii="Arial" w:hAnsi="Arial" w:cs="Arial"/>
        </w:rPr>
        <w:t>, aunque ya adelanto de antemano que variará según el caso concreto.</w:t>
      </w:r>
    </w:p>
    <w:p w:rsidR="00EB03A1" w:rsidRPr="0016488B" w:rsidRDefault="00EB03A1" w:rsidP="00EB03A1">
      <w:pPr>
        <w:pStyle w:val="NormalWeb"/>
        <w:spacing w:before="0" w:beforeAutospacing="0" w:after="0" w:afterAutospacing="0" w:line="360" w:lineRule="auto"/>
        <w:jc w:val="both"/>
        <w:rPr>
          <w:rFonts w:ascii="Arial" w:hAnsi="Arial" w:cs="Arial"/>
        </w:rPr>
      </w:pPr>
    </w:p>
    <w:p w:rsidR="00EB03A1" w:rsidRPr="0016488B" w:rsidRDefault="00EB03A1" w:rsidP="00EB03A1">
      <w:pPr>
        <w:pStyle w:val="NormalWeb"/>
        <w:spacing w:before="0" w:beforeAutospacing="0" w:after="0" w:afterAutospacing="0" w:line="360" w:lineRule="auto"/>
        <w:jc w:val="both"/>
        <w:rPr>
          <w:rFonts w:ascii="Arial" w:hAnsi="Arial" w:cs="Arial"/>
        </w:rPr>
      </w:pPr>
      <w:r w:rsidRPr="0016488B">
        <w:rPr>
          <w:rFonts w:ascii="Arial" w:hAnsi="Arial" w:cs="Arial"/>
        </w:rPr>
        <w:t xml:space="preserve">El interés del presente artículo viene como consecuencia de la reciente sentencia dictada por el </w:t>
      </w:r>
      <w:r w:rsidRPr="0016488B">
        <w:rPr>
          <w:rStyle w:val="Textoennegrita"/>
          <w:rFonts w:ascii="Arial" w:hAnsi="Arial" w:cs="Arial"/>
          <w:b w:val="0"/>
        </w:rPr>
        <w:t>Tribunal Supremo en fecha 11 de febrero de 2016</w:t>
      </w:r>
      <w:r w:rsidRPr="0016488B">
        <w:rPr>
          <w:rFonts w:ascii="Arial" w:hAnsi="Arial" w:cs="Arial"/>
        </w:rPr>
        <w:t>, donde de nuevo se ha p</w:t>
      </w:r>
      <w:r w:rsidR="0016488B" w:rsidRPr="0016488B">
        <w:rPr>
          <w:rFonts w:ascii="Arial" w:hAnsi="Arial" w:cs="Arial"/>
        </w:rPr>
        <w:t>l</w:t>
      </w:r>
      <w:r w:rsidRPr="0016488B">
        <w:rPr>
          <w:rFonts w:ascii="Arial" w:hAnsi="Arial" w:cs="Arial"/>
        </w:rPr>
        <w:t>anteado el asunto de la indemnización a favor del arrendador cuando el inquilino desiste del arrendamiento.</w:t>
      </w:r>
    </w:p>
    <w:p w:rsidR="00EB03A1" w:rsidRPr="0016488B" w:rsidRDefault="00EB03A1" w:rsidP="00EB03A1">
      <w:pPr>
        <w:pStyle w:val="NormalWeb"/>
        <w:spacing w:before="0" w:beforeAutospacing="0" w:after="0" w:afterAutospacing="0" w:line="360" w:lineRule="auto"/>
        <w:jc w:val="both"/>
        <w:rPr>
          <w:rFonts w:ascii="Arial" w:hAnsi="Arial" w:cs="Arial"/>
        </w:rPr>
      </w:pPr>
    </w:p>
    <w:p w:rsidR="00EB03A1" w:rsidRPr="0016488B" w:rsidRDefault="00EB03A1" w:rsidP="00EB03A1">
      <w:pPr>
        <w:pStyle w:val="NormalWeb"/>
        <w:spacing w:before="0" w:beforeAutospacing="0" w:after="0" w:afterAutospacing="0" w:line="360" w:lineRule="auto"/>
        <w:jc w:val="both"/>
        <w:rPr>
          <w:rFonts w:ascii="Arial" w:hAnsi="Arial" w:cs="Arial"/>
        </w:rPr>
      </w:pPr>
      <w:r w:rsidRPr="0016488B">
        <w:rPr>
          <w:rFonts w:ascii="Arial" w:hAnsi="Arial" w:cs="Arial"/>
        </w:rPr>
        <w:t xml:space="preserve">–  En este caso analizado por el Tribunal Supremo se parte de un contrato de </w:t>
      </w:r>
      <w:hyperlink r:id="rId13" w:tgtFrame="_blank" w:history="1">
        <w:r w:rsidRPr="0016488B">
          <w:rPr>
            <w:rStyle w:val="Hipervnculo"/>
            <w:rFonts w:ascii="Arial" w:hAnsi="Arial" w:cs="Arial"/>
            <w:bCs/>
            <w:color w:val="auto"/>
            <w:u w:val="none"/>
          </w:rPr>
          <w:t>arrendamiento de local</w:t>
        </w:r>
      </w:hyperlink>
      <w:r w:rsidRPr="0016488B">
        <w:rPr>
          <w:rFonts w:ascii="Arial" w:hAnsi="Arial" w:cs="Arial"/>
        </w:rPr>
        <w:t xml:space="preserve"> de negocio celebrado en 2008 y con una </w:t>
      </w:r>
      <w:r w:rsidRPr="0016488B">
        <w:rPr>
          <w:rStyle w:val="Textoennegrita"/>
          <w:rFonts w:ascii="Arial" w:hAnsi="Arial" w:cs="Arial"/>
          <w:b w:val="0"/>
        </w:rPr>
        <w:t>duración de 10 años</w:t>
      </w:r>
      <w:r w:rsidRPr="0016488B">
        <w:rPr>
          <w:rFonts w:ascii="Arial" w:hAnsi="Arial" w:cs="Arial"/>
        </w:rPr>
        <w:t>, por lo que finalizaba en 2018.</w:t>
      </w:r>
    </w:p>
    <w:p w:rsidR="00EB03A1" w:rsidRPr="0016488B" w:rsidRDefault="00EB03A1" w:rsidP="00EB03A1">
      <w:pPr>
        <w:pStyle w:val="NormalWeb"/>
        <w:spacing w:before="0" w:beforeAutospacing="0" w:after="0" w:afterAutospacing="0" w:line="360" w:lineRule="auto"/>
        <w:jc w:val="both"/>
        <w:rPr>
          <w:rFonts w:ascii="Arial" w:hAnsi="Arial" w:cs="Arial"/>
        </w:rPr>
      </w:pPr>
    </w:p>
    <w:p w:rsidR="00EB03A1" w:rsidRPr="0016488B" w:rsidRDefault="00EB03A1" w:rsidP="00EB03A1">
      <w:pPr>
        <w:pStyle w:val="NormalWeb"/>
        <w:spacing w:before="0" w:beforeAutospacing="0" w:after="0" w:afterAutospacing="0" w:line="360" w:lineRule="auto"/>
        <w:jc w:val="both"/>
        <w:rPr>
          <w:rFonts w:ascii="Arial" w:hAnsi="Arial" w:cs="Arial"/>
        </w:rPr>
      </w:pPr>
      <w:r w:rsidRPr="0016488B">
        <w:rPr>
          <w:rFonts w:ascii="Arial" w:hAnsi="Arial" w:cs="Arial"/>
        </w:rPr>
        <w:t xml:space="preserve">–  El arrendatario </w:t>
      </w:r>
      <w:r w:rsidRPr="0016488B">
        <w:rPr>
          <w:rStyle w:val="Textoennegrita"/>
          <w:rFonts w:ascii="Arial" w:hAnsi="Arial" w:cs="Arial"/>
          <w:b w:val="0"/>
        </w:rPr>
        <w:t>desiste del contrato</w:t>
      </w:r>
      <w:r w:rsidRPr="0016488B">
        <w:rPr>
          <w:rFonts w:ascii="Arial" w:hAnsi="Arial" w:cs="Arial"/>
        </w:rPr>
        <w:t xml:space="preserve"> (“</w:t>
      </w:r>
      <w:r w:rsidRPr="0016488B">
        <w:rPr>
          <w:rStyle w:val="nfasis"/>
          <w:rFonts w:ascii="Arial" w:hAnsi="Arial" w:cs="Arial"/>
          <w:i w:val="0"/>
        </w:rPr>
        <w:t>no quiere seguir con el alquiler</w:t>
      </w:r>
      <w:r w:rsidRPr="0016488B">
        <w:rPr>
          <w:rFonts w:ascii="Arial" w:hAnsi="Arial" w:cs="Arial"/>
        </w:rPr>
        <w:t>“) en abril de 2012, por lo que deja el local sin el consentimiento del arrendador.</w:t>
      </w:r>
    </w:p>
    <w:p w:rsidR="00EB03A1" w:rsidRPr="0016488B" w:rsidRDefault="00EB03A1" w:rsidP="00EB03A1">
      <w:pPr>
        <w:pStyle w:val="NormalWeb"/>
        <w:spacing w:before="0" w:beforeAutospacing="0" w:after="0" w:afterAutospacing="0" w:line="360" w:lineRule="auto"/>
        <w:jc w:val="both"/>
        <w:rPr>
          <w:rFonts w:ascii="Arial" w:hAnsi="Arial" w:cs="Arial"/>
        </w:rPr>
      </w:pPr>
    </w:p>
    <w:p w:rsidR="00EB03A1" w:rsidRPr="0016488B" w:rsidRDefault="00EB03A1" w:rsidP="00EB03A1">
      <w:pPr>
        <w:pStyle w:val="NormalWeb"/>
        <w:spacing w:before="0" w:beforeAutospacing="0" w:after="0" w:afterAutospacing="0" w:line="360" w:lineRule="auto"/>
        <w:jc w:val="both"/>
        <w:rPr>
          <w:rFonts w:ascii="Arial" w:hAnsi="Arial" w:cs="Arial"/>
        </w:rPr>
      </w:pPr>
      <w:r w:rsidRPr="0016488B">
        <w:rPr>
          <w:rFonts w:ascii="Arial" w:hAnsi="Arial" w:cs="Arial"/>
        </w:rPr>
        <w:t xml:space="preserve">–  El arrendador interpone un procedimiento judicial de resolución del contrato de arrendamiento y de reclamación de </w:t>
      </w:r>
      <w:hyperlink r:id="rId14" w:tgtFrame="_blank" w:history="1">
        <w:r w:rsidRPr="0016488B">
          <w:rPr>
            <w:rStyle w:val="Hipervnculo"/>
            <w:rFonts w:ascii="Arial" w:hAnsi="Arial" w:cs="Arial"/>
            <w:bCs/>
            <w:color w:val="auto"/>
            <w:u w:val="none"/>
          </w:rPr>
          <w:t>indemnización de daños y perjuicios</w:t>
        </w:r>
      </w:hyperlink>
      <w:r w:rsidRPr="0016488B">
        <w:rPr>
          <w:rFonts w:ascii="Arial" w:hAnsi="Arial" w:cs="Arial"/>
        </w:rPr>
        <w:t xml:space="preserve"> por el desistimiento del arrendamiento de local por parte del inquilino.</w:t>
      </w:r>
    </w:p>
    <w:p w:rsidR="00EB03A1" w:rsidRPr="0016488B" w:rsidRDefault="00EB03A1" w:rsidP="00EB03A1">
      <w:pPr>
        <w:pStyle w:val="NormalWeb"/>
        <w:spacing w:before="0" w:beforeAutospacing="0" w:after="0" w:afterAutospacing="0" w:line="360" w:lineRule="auto"/>
        <w:jc w:val="both"/>
        <w:rPr>
          <w:rFonts w:ascii="Arial" w:hAnsi="Arial" w:cs="Arial"/>
        </w:rPr>
      </w:pPr>
    </w:p>
    <w:p w:rsidR="00EB03A1" w:rsidRPr="0016488B" w:rsidRDefault="00EB03A1" w:rsidP="00EB03A1">
      <w:pPr>
        <w:pStyle w:val="NormalWeb"/>
        <w:spacing w:before="0" w:beforeAutospacing="0" w:after="0" w:afterAutospacing="0" w:line="360" w:lineRule="auto"/>
        <w:jc w:val="both"/>
        <w:rPr>
          <w:rFonts w:ascii="Arial" w:hAnsi="Arial" w:cs="Arial"/>
        </w:rPr>
      </w:pPr>
      <w:r w:rsidRPr="0016488B">
        <w:rPr>
          <w:rFonts w:ascii="Arial" w:hAnsi="Arial" w:cs="Arial"/>
        </w:rPr>
        <w:t xml:space="preserve">–  El importe de la indemnización solicitada asciende al pago de la </w:t>
      </w:r>
      <w:r w:rsidRPr="0016488B">
        <w:rPr>
          <w:rStyle w:val="Textoennegrita"/>
          <w:rFonts w:ascii="Arial" w:hAnsi="Arial" w:cs="Arial"/>
          <w:b w:val="0"/>
        </w:rPr>
        <w:t>totalidad del importe de las rentas que faltan hasta completar el plazo de duración fijado en el contrato</w:t>
      </w:r>
      <w:r w:rsidRPr="0016488B">
        <w:rPr>
          <w:rFonts w:ascii="Arial" w:hAnsi="Arial" w:cs="Arial"/>
        </w:rPr>
        <w:t>, es decir, que le pague la renta de todos los meses que faltan hasta 2018.</w:t>
      </w:r>
    </w:p>
    <w:p w:rsidR="00EB03A1" w:rsidRPr="0016488B" w:rsidRDefault="00EB03A1" w:rsidP="00EB03A1">
      <w:pPr>
        <w:pStyle w:val="NormalWeb"/>
        <w:spacing w:before="0" w:beforeAutospacing="0" w:after="0" w:afterAutospacing="0" w:line="360" w:lineRule="auto"/>
        <w:jc w:val="both"/>
        <w:rPr>
          <w:rFonts w:ascii="Arial" w:hAnsi="Arial" w:cs="Arial"/>
        </w:rPr>
      </w:pPr>
    </w:p>
    <w:p w:rsidR="00EB03A1" w:rsidRPr="0016488B" w:rsidRDefault="00EB03A1" w:rsidP="00EB03A1">
      <w:pPr>
        <w:pStyle w:val="NormalWeb"/>
        <w:spacing w:before="0" w:beforeAutospacing="0" w:after="0" w:afterAutospacing="0" w:line="360" w:lineRule="auto"/>
        <w:jc w:val="both"/>
        <w:rPr>
          <w:rFonts w:ascii="Arial" w:hAnsi="Arial" w:cs="Arial"/>
        </w:rPr>
      </w:pPr>
      <w:r w:rsidRPr="0016488B">
        <w:rPr>
          <w:rFonts w:ascii="Arial" w:hAnsi="Arial" w:cs="Arial"/>
        </w:rPr>
        <w:lastRenderedPageBreak/>
        <w:t xml:space="preserve">–  El </w:t>
      </w:r>
      <w:r w:rsidRPr="0016488B">
        <w:rPr>
          <w:rStyle w:val="Textoennegrita"/>
          <w:rFonts w:ascii="Arial" w:hAnsi="Arial" w:cs="Arial"/>
          <w:b w:val="0"/>
        </w:rPr>
        <w:t>Juzgado</w:t>
      </w:r>
      <w:r w:rsidRPr="0016488B">
        <w:rPr>
          <w:rFonts w:ascii="Arial" w:hAnsi="Arial" w:cs="Arial"/>
        </w:rPr>
        <w:t xml:space="preserve"> que conoció del asunto, estima parcialmente la demanda y considera que la </w:t>
      </w:r>
      <w:r w:rsidRPr="0016488B">
        <w:rPr>
          <w:rStyle w:val="Textoennegrita"/>
          <w:rFonts w:ascii="Arial" w:hAnsi="Arial" w:cs="Arial"/>
        </w:rPr>
        <w:t>indemnización por daños y perjuicios deberá ser de 5 mensualidades de renta por cada año que reste  por cumplir</w:t>
      </w:r>
      <w:r w:rsidRPr="0016488B">
        <w:rPr>
          <w:rFonts w:ascii="Arial" w:hAnsi="Arial" w:cs="Arial"/>
        </w:rPr>
        <w:t xml:space="preserve">, lo que hace un total de 29 meses y 5 </w:t>
      </w:r>
      <w:proofErr w:type="spellStart"/>
      <w:r w:rsidRPr="0016488B">
        <w:rPr>
          <w:rFonts w:ascii="Arial" w:hAnsi="Arial" w:cs="Arial"/>
        </w:rPr>
        <w:t>dias</w:t>
      </w:r>
      <w:proofErr w:type="spellEnd"/>
      <w:r w:rsidRPr="0016488B">
        <w:rPr>
          <w:rFonts w:ascii="Arial" w:hAnsi="Arial" w:cs="Arial"/>
        </w:rPr>
        <w:t xml:space="preserve"> de renta. Además añade la sentencia que, lo anterior se mantendrá así, siempre y cuando el demandante no arrendara el local antes del transcurso de los 29 meses y 5 días desde abril de 2012, en cuyo caso cesaría la obligación del demandado de abonar mensualidad alguna a fin de no provocar un enriquecimiento injusto a favor de la propiedad.</w:t>
      </w:r>
    </w:p>
    <w:p w:rsidR="00EB03A1" w:rsidRPr="0016488B" w:rsidRDefault="00EB03A1" w:rsidP="00EB03A1">
      <w:pPr>
        <w:pStyle w:val="NormalWeb"/>
        <w:spacing w:before="0" w:beforeAutospacing="0" w:after="0" w:afterAutospacing="0" w:line="360" w:lineRule="auto"/>
        <w:jc w:val="both"/>
        <w:rPr>
          <w:rFonts w:ascii="Arial" w:hAnsi="Arial" w:cs="Arial"/>
        </w:rPr>
      </w:pPr>
    </w:p>
    <w:p w:rsidR="00EB03A1" w:rsidRPr="0016488B" w:rsidRDefault="00EB03A1" w:rsidP="00EB03A1">
      <w:pPr>
        <w:pStyle w:val="NormalWeb"/>
        <w:spacing w:before="0" w:beforeAutospacing="0" w:after="0" w:afterAutospacing="0" w:line="360" w:lineRule="auto"/>
        <w:jc w:val="both"/>
        <w:rPr>
          <w:rFonts w:ascii="Arial" w:hAnsi="Arial" w:cs="Arial"/>
        </w:rPr>
      </w:pPr>
      <w:r w:rsidRPr="0016488B">
        <w:rPr>
          <w:rFonts w:ascii="Arial" w:hAnsi="Arial" w:cs="Arial"/>
        </w:rPr>
        <w:t xml:space="preserve">–  El arrendatario interpone un recurso de apelación ante la </w:t>
      </w:r>
      <w:r w:rsidRPr="0016488B">
        <w:rPr>
          <w:rStyle w:val="Textoennegrita"/>
          <w:rFonts w:ascii="Arial" w:hAnsi="Arial" w:cs="Arial"/>
          <w:b w:val="0"/>
        </w:rPr>
        <w:t>Audiencia Provincial</w:t>
      </w:r>
      <w:r w:rsidRPr="0016488B">
        <w:rPr>
          <w:rFonts w:ascii="Arial" w:hAnsi="Arial" w:cs="Arial"/>
        </w:rPr>
        <w:t xml:space="preserve">, que lo resuelve en parte a su favor y acuerda establecer la indemnización por desistimiento del arrendamiento de local, en </w:t>
      </w:r>
      <w:r w:rsidRPr="0016488B">
        <w:rPr>
          <w:rStyle w:val="Textoennegrita"/>
          <w:rFonts w:ascii="Arial" w:hAnsi="Arial" w:cs="Arial"/>
          <w:b w:val="0"/>
        </w:rPr>
        <w:t>UNA MENSUALIDAD de renta por CADA AÑO que reste por cumplir</w:t>
      </w:r>
      <w:r w:rsidRPr="0016488B">
        <w:rPr>
          <w:rFonts w:ascii="Arial" w:hAnsi="Arial" w:cs="Arial"/>
        </w:rPr>
        <w:t xml:space="preserve"> del contrato. La Audiencia considera aplicable por analogía lo dispuesto en el </w:t>
      </w:r>
      <w:hyperlink r:id="rId15" w:tgtFrame="_blank" w:history="1">
        <w:r w:rsidRPr="0016488B">
          <w:rPr>
            <w:rStyle w:val="Hipervnculo"/>
            <w:rFonts w:ascii="Arial" w:hAnsi="Arial" w:cs="Arial"/>
            <w:bCs/>
            <w:color w:val="auto"/>
            <w:u w:val="none"/>
          </w:rPr>
          <w:t>art. 11.2 de la Ley de Arrendamientos Urbanos</w:t>
        </w:r>
      </w:hyperlink>
      <w:r w:rsidRPr="0016488B">
        <w:rPr>
          <w:rFonts w:ascii="Arial" w:hAnsi="Arial" w:cs="Arial"/>
        </w:rPr>
        <w:t xml:space="preserve"> para las viviendas, así como la jurisprudencia emanada por el </w:t>
      </w:r>
      <w:r w:rsidRPr="0016488B">
        <w:rPr>
          <w:rStyle w:val="Textoennegrita"/>
          <w:rFonts w:ascii="Arial" w:hAnsi="Arial" w:cs="Arial"/>
          <w:b w:val="0"/>
        </w:rPr>
        <w:t>Tribunal Supremo en sentencia de 9.04.2012</w:t>
      </w:r>
      <w:r w:rsidRPr="0016488B">
        <w:rPr>
          <w:rFonts w:ascii="Arial" w:hAnsi="Arial" w:cs="Arial"/>
        </w:rPr>
        <w:t>.</w:t>
      </w:r>
    </w:p>
    <w:p w:rsidR="00EB03A1" w:rsidRPr="0016488B" w:rsidRDefault="00EB03A1" w:rsidP="00EB03A1">
      <w:pPr>
        <w:pStyle w:val="NormalWeb"/>
        <w:spacing w:before="0" w:beforeAutospacing="0" w:after="0" w:afterAutospacing="0" w:line="360" w:lineRule="auto"/>
        <w:jc w:val="both"/>
        <w:rPr>
          <w:rFonts w:ascii="Arial" w:hAnsi="Arial" w:cs="Arial"/>
        </w:rPr>
      </w:pPr>
    </w:p>
    <w:p w:rsidR="00EB03A1" w:rsidRPr="0016488B" w:rsidRDefault="00EB03A1" w:rsidP="00EB03A1">
      <w:pPr>
        <w:pStyle w:val="NormalWeb"/>
        <w:spacing w:before="0" w:beforeAutospacing="0" w:after="0" w:afterAutospacing="0" w:line="360" w:lineRule="auto"/>
        <w:jc w:val="both"/>
        <w:rPr>
          <w:rFonts w:ascii="Arial" w:hAnsi="Arial" w:cs="Arial"/>
        </w:rPr>
      </w:pPr>
      <w:r w:rsidRPr="0016488B">
        <w:rPr>
          <w:rFonts w:ascii="Arial" w:hAnsi="Arial" w:cs="Arial"/>
        </w:rPr>
        <w:t xml:space="preserve">–  El arrendador interpone un </w:t>
      </w:r>
      <w:r w:rsidRPr="0016488B">
        <w:rPr>
          <w:rStyle w:val="Textoennegrita"/>
          <w:rFonts w:ascii="Arial" w:hAnsi="Arial" w:cs="Arial"/>
          <w:b w:val="0"/>
        </w:rPr>
        <w:t>recurso de casación</w:t>
      </w:r>
      <w:r w:rsidRPr="0016488B">
        <w:rPr>
          <w:rFonts w:ascii="Arial" w:hAnsi="Arial" w:cs="Arial"/>
        </w:rPr>
        <w:t xml:space="preserve"> ante el Tribunal Supremo.</w:t>
      </w:r>
    </w:p>
    <w:p w:rsidR="00EB03A1" w:rsidRPr="0016488B" w:rsidRDefault="00EB03A1" w:rsidP="00EB03A1">
      <w:pPr>
        <w:pStyle w:val="Ttulo2"/>
        <w:spacing w:before="0" w:after="0" w:line="360" w:lineRule="auto"/>
        <w:jc w:val="both"/>
        <w:rPr>
          <w:rStyle w:val="Textoennegrita"/>
          <w:rFonts w:ascii="Arial" w:hAnsi="Arial" w:cs="Arial"/>
          <w:bCs/>
          <w:i w:val="0"/>
          <w:sz w:val="24"/>
          <w:szCs w:val="24"/>
        </w:rPr>
      </w:pPr>
      <w:r w:rsidRPr="0016488B">
        <w:rPr>
          <w:rStyle w:val="Textoennegrita"/>
          <w:rFonts w:ascii="Arial" w:hAnsi="Arial" w:cs="Arial"/>
          <w:bCs/>
          <w:i w:val="0"/>
          <w:sz w:val="24"/>
          <w:szCs w:val="24"/>
        </w:rPr>
        <w:t>¿Cómo resuelve el Tribunal Supremo el presente caso?</w:t>
      </w:r>
    </w:p>
    <w:p w:rsidR="00EB03A1" w:rsidRPr="0016488B" w:rsidRDefault="00EB03A1" w:rsidP="00EB03A1">
      <w:pPr>
        <w:rPr>
          <w:rFonts w:ascii="Arial" w:hAnsi="Arial" w:cs="Arial"/>
        </w:rPr>
      </w:pPr>
    </w:p>
    <w:p w:rsidR="00EB03A1" w:rsidRPr="0016488B" w:rsidRDefault="00EB03A1" w:rsidP="00EB03A1">
      <w:pPr>
        <w:pStyle w:val="NormalWeb"/>
        <w:spacing w:before="0" w:beforeAutospacing="0" w:after="0" w:afterAutospacing="0" w:line="360" w:lineRule="auto"/>
        <w:jc w:val="both"/>
        <w:rPr>
          <w:rFonts w:ascii="Arial" w:hAnsi="Arial" w:cs="Arial"/>
        </w:rPr>
      </w:pPr>
      <w:r w:rsidRPr="0016488B">
        <w:rPr>
          <w:rFonts w:ascii="Arial" w:hAnsi="Arial" w:cs="Arial"/>
        </w:rPr>
        <w:t xml:space="preserve">La sentencia dictada por la </w:t>
      </w:r>
      <w:r w:rsidRPr="0016488B">
        <w:rPr>
          <w:rStyle w:val="Textoennegrita"/>
          <w:rFonts w:ascii="Arial" w:hAnsi="Arial" w:cs="Arial"/>
          <w:b w:val="0"/>
        </w:rPr>
        <w:t xml:space="preserve">Sala 1ª del </w:t>
      </w:r>
      <w:proofErr w:type="spellStart"/>
      <w:r w:rsidRPr="0016488B">
        <w:rPr>
          <w:rStyle w:val="Textoennegrita"/>
          <w:rFonts w:ascii="Arial" w:hAnsi="Arial" w:cs="Arial"/>
          <w:b w:val="0"/>
        </w:rPr>
        <w:t>TS</w:t>
      </w:r>
      <w:proofErr w:type="spellEnd"/>
      <w:r w:rsidRPr="0016488B">
        <w:rPr>
          <w:rStyle w:val="Textoennegrita"/>
          <w:rFonts w:ascii="Arial" w:hAnsi="Arial" w:cs="Arial"/>
          <w:b w:val="0"/>
        </w:rPr>
        <w:t xml:space="preserve"> en fecha 11.02.2016</w:t>
      </w:r>
      <w:r w:rsidRPr="0016488B">
        <w:rPr>
          <w:rFonts w:ascii="Arial" w:hAnsi="Arial" w:cs="Arial"/>
        </w:rPr>
        <w:t>, dice al respecto:</w:t>
      </w:r>
    </w:p>
    <w:p w:rsidR="00EB03A1" w:rsidRPr="0016488B" w:rsidRDefault="00EB03A1" w:rsidP="00EB03A1">
      <w:pPr>
        <w:pStyle w:val="NormalWeb"/>
        <w:spacing w:before="0" w:beforeAutospacing="0" w:after="0" w:afterAutospacing="0" w:line="360" w:lineRule="auto"/>
        <w:jc w:val="both"/>
        <w:rPr>
          <w:rFonts w:ascii="Arial" w:hAnsi="Arial" w:cs="Arial"/>
        </w:rPr>
      </w:pPr>
    </w:p>
    <w:p w:rsidR="00EB03A1" w:rsidRPr="0016488B" w:rsidRDefault="00EB03A1" w:rsidP="00EB03A1">
      <w:pPr>
        <w:pStyle w:val="NormalWeb"/>
        <w:spacing w:before="0" w:beforeAutospacing="0" w:after="0" w:afterAutospacing="0" w:line="360" w:lineRule="auto"/>
        <w:jc w:val="both"/>
        <w:rPr>
          <w:rStyle w:val="extracto"/>
          <w:rFonts w:ascii="Arial" w:hAnsi="Arial" w:cs="Arial"/>
        </w:rPr>
      </w:pPr>
      <w:r w:rsidRPr="0016488B">
        <w:rPr>
          <w:rStyle w:val="Textoennegrita"/>
          <w:rFonts w:ascii="Arial" w:hAnsi="Arial" w:cs="Arial"/>
          <w:b w:val="0"/>
        </w:rPr>
        <w:t>1º.- </w:t>
      </w:r>
      <w:r w:rsidRPr="0016488B">
        <w:rPr>
          <w:rFonts w:ascii="Arial" w:hAnsi="Arial" w:cs="Arial"/>
        </w:rPr>
        <w:t xml:space="preserve"> </w:t>
      </w:r>
      <w:r w:rsidRPr="0016488B">
        <w:rPr>
          <w:rStyle w:val="extracto"/>
          <w:rFonts w:ascii="Arial" w:hAnsi="Arial" w:cs="Arial"/>
        </w:rPr>
        <w:t xml:space="preserve">Se denuncia por el arrendador la infracción del </w:t>
      </w:r>
      <w:hyperlink r:id="rId16" w:tgtFrame="_blank" w:history="1">
        <w:r w:rsidRPr="0016488B">
          <w:rPr>
            <w:rStyle w:val="Textoennegrita"/>
            <w:rFonts w:ascii="Arial" w:hAnsi="Arial" w:cs="Arial"/>
            <w:b w:val="0"/>
          </w:rPr>
          <w:t>art. 1106 Código Civil</w:t>
        </w:r>
      </w:hyperlink>
      <w:r w:rsidRPr="0016488B">
        <w:rPr>
          <w:rStyle w:val="extracto"/>
          <w:rFonts w:ascii="Arial" w:hAnsi="Arial" w:cs="Arial"/>
        </w:rPr>
        <w:t xml:space="preserve"> y la jurisprudencia que lo interpreta en el sentido de que la sentencia recurrida fija la indemnización por el incumplimiento del plazo de duración del contrato en base a la aplicación de la pauta orientativa contenida en el </w:t>
      </w:r>
      <w:hyperlink r:id="rId17" w:tgtFrame="_blank" w:history="1">
        <w:r w:rsidRPr="0016488B">
          <w:rPr>
            <w:rStyle w:val="Hipervnculo"/>
            <w:rFonts w:ascii="Arial" w:hAnsi="Arial" w:cs="Arial"/>
            <w:color w:val="auto"/>
            <w:u w:val="none"/>
          </w:rPr>
          <w:t xml:space="preserve">art. 11.2 de la </w:t>
        </w:r>
        <w:proofErr w:type="spellStart"/>
        <w:r w:rsidRPr="0016488B">
          <w:rPr>
            <w:rStyle w:val="Hipervnculo"/>
            <w:rFonts w:ascii="Arial" w:hAnsi="Arial" w:cs="Arial"/>
            <w:color w:val="auto"/>
            <w:u w:val="none"/>
          </w:rPr>
          <w:t>LAU</w:t>
        </w:r>
        <w:proofErr w:type="spellEnd"/>
        <w:r w:rsidRPr="0016488B">
          <w:rPr>
            <w:rStyle w:val="Hipervnculo"/>
            <w:rFonts w:ascii="Arial" w:hAnsi="Arial" w:cs="Arial"/>
            <w:color w:val="auto"/>
            <w:u w:val="none"/>
          </w:rPr>
          <w:t xml:space="preserve"> de 1994</w:t>
        </w:r>
      </w:hyperlink>
      <w:r w:rsidRPr="0016488B">
        <w:rPr>
          <w:rStyle w:val="extracto"/>
          <w:rFonts w:ascii="Arial" w:hAnsi="Arial" w:cs="Arial"/>
        </w:rPr>
        <w:t xml:space="preserve"> , sin atender a la debida aplicación del precepto citado, cuando se han acreditado los presupuestos para ello. Sentencias de la Sala Civil del </w:t>
      </w:r>
      <w:proofErr w:type="spellStart"/>
      <w:r w:rsidRPr="0016488B">
        <w:rPr>
          <w:rStyle w:val="extracto"/>
          <w:rFonts w:ascii="Arial" w:hAnsi="Arial" w:cs="Arial"/>
        </w:rPr>
        <w:t>TS</w:t>
      </w:r>
      <w:proofErr w:type="spellEnd"/>
      <w:r w:rsidRPr="0016488B">
        <w:rPr>
          <w:rStyle w:val="extracto"/>
          <w:rFonts w:ascii="Arial" w:hAnsi="Arial" w:cs="Arial"/>
        </w:rPr>
        <w:t xml:space="preserve"> de 26-9-2007 y 9-4-2013.</w:t>
      </w:r>
    </w:p>
    <w:p w:rsidR="00EB03A1" w:rsidRPr="0016488B" w:rsidRDefault="00EB03A1" w:rsidP="00EB03A1">
      <w:pPr>
        <w:pStyle w:val="NormalWeb"/>
        <w:spacing w:before="0" w:beforeAutospacing="0" w:after="0" w:afterAutospacing="0" w:line="360" w:lineRule="auto"/>
        <w:jc w:val="both"/>
        <w:rPr>
          <w:rFonts w:ascii="Arial" w:hAnsi="Arial" w:cs="Arial"/>
        </w:rPr>
      </w:pPr>
    </w:p>
    <w:p w:rsidR="00EB03A1" w:rsidRPr="0016488B" w:rsidRDefault="00EB03A1" w:rsidP="00EB03A1">
      <w:pPr>
        <w:pStyle w:val="NormalWeb"/>
        <w:spacing w:before="0" w:beforeAutospacing="0" w:after="0" w:afterAutospacing="0" w:line="360" w:lineRule="auto"/>
        <w:jc w:val="both"/>
        <w:rPr>
          <w:rFonts w:ascii="Arial" w:hAnsi="Arial" w:cs="Arial"/>
        </w:rPr>
      </w:pPr>
      <w:r w:rsidRPr="0016488B">
        <w:rPr>
          <w:rStyle w:val="Textoennegrita"/>
          <w:rFonts w:ascii="Arial" w:hAnsi="Arial" w:cs="Arial"/>
          <w:b w:val="0"/>
        </w:rPr>
        <w:t>2º.- </w:t>
      </w:r>
      <w:r w:rsidRPr="0016488B">
        <w:rPr>
          <w:rFonts w:ascii="Arial" w:hAnsi="Arial" w:cs="Arial"/>
        </w:rPr>
        <w:t xml:space="preserve"> El motivo del recurso ha de ser estimado y por tanto </w:t>
      </w:r>
      <w:r w:rsidRPr="0016488B">
        <w:rPr>
          <w:rStyle w:val="Textoennegrita"/>
          <w:rFonts w:ascii="Arial" w:hAnsi="Arial" w:cs="Arial"/>
          <w:b w:val="0"/>
        </w:rPr>
        <w:t>ha de dársele la razón al arrendador</w:t>
      </w:r>
      <w:r w:rsidRPr="0016488B">
        <w:rPr>
          <w:rFonts w:ascii="Arial" w:hAnsi="Arial" w:cs="Arial"/>
        </w:rPr>
        <w:t xml:space="preserve"> por lo siguiente:</w:t>
      </w:r>
    </w:p>
    <w:p w:rsidR="00EB03A1" w:rsidRPr="0016488B" w:rsidRDefault="00EB03A1" w:rsidP="00EB03A1">
      <w:pPr>
        <w:pStyle w:val="NormalWeb"/>
        <w:spacing w:before="0" w:beforeAutospacing="0" w:after="0" w:afterAutospacing="0" w:line="360" w:lineRule="auto"/>
        <w:jc w:val="both"/>
        <w:rPr>
          <w:rFonts w:ascii="Arial" w:hAnsi="Arial" w:cs="Arial"/>
        </w:rPr>
      </w:pPr>
    </w:p>
    <w:p w:rsidR="00EB03A1" w:rsidRPr="0016488B" w:rsidRDefault="00EB03A1" w:rsidP="00EB03A1">
      <w:pPr>
        <w:numPr>
          <w:ilvl w:val="0"/>
          <w:numId w:val="7"/>
        </w:numPr>
        <w:spacing w:line="360" w:lineRule="auto"/>
        <w:ind w:left="0" w:firstLine="0"/>
        <w:jc w:val="both"/>
        <w:rPr>
          <w:rStyle w:val="extracto"/>
          <w:rFonts w:ascii="Arial" w:hAnsi="Arial" w:cs="Arial"/>
        </w:rPr>
      </w:pPr>
      <w:r w:rsidRPr="0016488B">
        <w:rPr>
          <w:rStyle w:val="extracto"/>
          <w:rFonts w:ascii="Arial" w:hAnsi="Arial" w:cs="Arial"/>
        </w:rPr>
        <w:t>En la sentencia de la Audiencia Provincial se analiza la situación de reducción de rentas y disminución de la demanda de alquileres, pero pese a ello entiende desmesurada la indemnización concedida por el Juzgado, consistente en cinco mensualidades por año que restaba de duración del contrato.</w:t>
      </w:r>
    </w:p>
    <w:p w:rsidR="00EB03A1" w:rsidRPr="0016488B" w:rsidRDefault="00EB03A1" w:rsidP="00EB03A1">
      <w:pPr>
        <w:spacing w:line="360" w:lineRule="auto"/>
        <w:jc w:val="both"/>
        <w:rPr>
          <w:rFonts w:ascii="Arial" w:hAnsi="Arial" w:cs="Arial"/>
        </w:rPr>
      </w:pPr>
    </w:p>
    <w:p w:rsidR="00EB03A1" w:rsidRPr="0016488B" w:rsidRDefault="00EB03A1" w:rsidP="00EB03A1">
      <w:pPr>
        <w:numPr>
          <w:ilvl w:val="0"/>
          <w:numId w:val="8"/>
        </w:numPr>
        <w:spacing w:line="360" w:lineRule="auto"/>
        <w:ind w:left="0" w:firstLine="0"/>
        <w:jc w:val="both"/>
        <w:rPr>
          <w:rStyle w:val="extracto"/>
          <w:rFonts w:ascii="Arial" w:hAnsi="Arial" w:cs="Arial"/>
        </w:rPr>
      </w:pPr>
      <w:r w:rsidRPr="0016488B">
        <w:rPr>
          <w:rFonts w:ascii="Arial" w:hAnsi="Arial" w:cs="Arial"/>
        </w:rPr>
        <w:t>La resolución dictada por la Audiencia Provincial </w:t>
      </w:r>
      <w:r w:rsidRPr="0016488B">
        <w:rPr>
          <w:rStyle w:val="extracto"/>
          <w:rFonts w:ascii="Arial" w:hAnsi="Arial" w:cs="Arial"/>
        </w:rPr>
        <w:t xml:space="preserve"> se apoya principalmente en la sentencia del Tribunal Supremo de 9 de abril de 2012 que aplicó como criterio orientativo la indemnización fijada en el art. 11.2 de la </w:t>
      </w:r>
      <w:proofErr w:type="spellStart"/>
      <w:r w:rsidRPr="0016488B">
        <w:rPr>
          <w:rStyle w:val="extracto"/>
          <w:rFonts w:ascii="Arial" w:hAnsi="Arial" w:cs="Arial"/>
        </w:rPr>
        <w:t>LAU</w:t>
      </w:r>
      <w:proofErr w:type="spellEnd"/>
      <w:r w:rsidRPr="0016488B">
        <w:rPr>
          <w:rStyle w:val="extracto"/>
          <w:rFonts w:ascii="Arial" w:hAnsi="Arial" w:cs="Arial"/>
        </w:rPr>
        <w:t xml:space="preserve"> de 1994 (en su anterior redacción), es decir, una mensualidad por año que restaba de duración del contrato.</w:t>
      </w:r>
    </w:p>
    <w:p w:rsidR="00EB03A1" w:rsidRPr="0016488B" w:rsidRDefault="00EB03A1" w:rsidP="00EB03A1">
      <w:pPr>
        <w:spacing w:line="360" w:lineRule="auto"/>
        <w:jc w:val="both"/>
        <w:rPr>
          <w:rFonts w:ascii="Arial" w:hAnsi="Arial" w:cs="Arial"/>
        </w:rPr>
      </w:pPr>
    </w:p>
    <w:p w:rsidR="00EB03A1" w:rsidRPr="0016488B" w:rsidRDefault="00EB03A1" w:rsidP="00EB03A1">
      <w:pPr>
        <w:numPr>
          <w:ilvl w:val="0"/>
          <w:numId w:val="9"/>
        </w:numPr>
        <w:spacing w:line="360" w:lineRule="auto"/>
        <w:ind w:left="0" w:firstLine="0"/>
        <w:jc w:val="both"/>
        <w:rPr>
          <w:rStyle w:val="extracto"/>
          <w:rFonts w:ascii="Arial" w:hAnsi="Arial" w:cs="Arial"/>
        </w:rPr>
      </w:pPr>
      <w:r w:rsidRPr="0016488B">
        <w:rPr>
          <w:rStyle w:val="extracto"/>
          <w:rFonts w:ascii="Arial" w:hAnsi="Arial" w:cs="Arial"/>
        </w:rPr>
        <w:t xml:space="preserve">Esta Sala debe declarar que </w:t>
      </w:r>
      <w:r w:rsidRPr="0016488B">
        <w:rPr>
          <w:rStyle w:val="Textoennegrita"/>
          <w:rFonts w:ascii="Arial" w:hAnsi="Arial" w:cs="Arial"/>
          <w:b w:val="0"/>
        </w:rPr>
        <w:t>la sentencia de 9 de abril de 2012 se dictó en un supuesto en que no constaba la existencia de perjuicios de mayor calado</w:t>
      </w:r>
      <w:r w:rsidRPr="0016488B">
        <w:rPr>
          <w:rStyle w:val="extracto"/>
          <w:rFonts w:ascii="Arial" w:hAnsi="Arial" w:cs="Arial"/>
        </w:rPr>
        <w:t>.</w:t>
      </w:r>
    </w:p>
    <w:p w:rsidR="00EB03A1" w:rsidRPr="0016488B" w:rsidRDefault="00EB03A1" w:rsidP="00EB03A1">
      <w:pPr>
        <w:spacing w:line="360" w:lineRule="auto"/>
        <w:jc w:val="both"/>
        <w:rPr>
          <w:rFonts w:ascii="Arial" w:hAnsi="Arial" w:cs="Arial"/>
        </w:rPr>
      </w:pPr>
    </w:p>
    <w:p w:rsidR="00EB03A1" w:rsidRPr="0016488B" w:rsidRDefault="00EB03A1" w:rsidP="00EB03A1">
      <w:pPr>
        <w:numPr>
          <w:ilvl w:val="0"/>
          <w:numId w:val="10"/>
        </w:numPr>
        <w:spacing w:line="360" w:lineRule="auto"/>
        <w:ind w:left="0" w:firstLine="0"/>
        <w:jc w:val="both"/>
        <w:rPr>
          <w:rStyle w:val="extracto"/>
          <w:rFonts w:ascii="Arial" w:hAnsi="Arial" w:cs="Arial"/>
        </w:rPr>
      </w:pPr>
      <w:r w:rsidRPr="0016488B">
        <w:rPr>
          <w:rStyle w:val="extracto"/>
          <w:rFonts w:ascii="Arial" w:hAnsi="Arial" w:cs="Arial"/>
        </w:rPr>
        <w:t xml:space="preserve">En el </w:t>
      </w:r>
      <w:r w:rsidRPr="0016488B">
        <w:rPr>
          <w:rStyle w:val="Textoennegrita"/>
          <w:rFonts w:ascii="Arial" w:hAnsi="Arial" w:cs="Arial"/>
          <w:b w:val="0"/>
        </w:rPr>
        <w:t>presente caso</w:t>
      </w:r>
      <w:r w:rsidRPr="0016488B">
        <w:rPr>
          <w:rStyle w:val="extracto"/>
          <w:rFonts w:ascii="Arial" w:hAnsi="Arial" w:cs="Arial"/>
        </w:rPr>
        <w:t xml:space="preserve">, esta Sala entiende infringido el </w:t>
      </w:r>
      <w:hyperlink r:id="rId18" w:tgtFrame="_blank" w:history="1">
        <w:r w:rsidRPr="0016488B">
          <w:rPr>
            <w:rStyle w:val="Hipervnculo"/>
            <w:rFonts w:ascii="Arial" w:hAnsi="Arial" w:cs="Arial"/>
            <w:color w:val="auto"/>
            <w:u w:val="none"/>
          </w:rPr>
          <w:t>art. 1106 del C. Civil</w:t>
        </w:r>
      </w:hyperlink>
      <w:r w:rsidRPr="0016488B">
        <w:rPr>
          <w:rStyle w:val="extracto"/>
          <w:rFonts w:ascii="Arial" w:hAnsi="Arial" w:cs="Arial"/>
        </w:rPr>
        <w:t xml:space="preserve"> y jurisprudencia que lo interpreta ( sentencia de 26 de septiembre de 2007 y 9 de abril de 2012 ), en el sentido de que </w:t>
      </w:r>
      <w:r w:rsidRPr="0016488B">
        <w:rPr>
          <w:rStyle w:val="Textoennegrita"/>
          <w:rFonts w:ascii="Arial" w:hAnsi="Arial" w:cs="Arial"/>
          <w:b w:val="0"/>
        </w:rPr>
        <w:t>constan perjuicios de mayor nivel cuantitativo</w:t>
      </w:r>
      <w:r w:rsidRPr="0016488B">
        <w:rPr>
          <w:rStyle w:val="extracto"/>
          <w:rFonts w:ascii="Arial" w:hAnsi="Arial" w:cs="Arial"/>
        </w:rPr>
        <w:t xml:space="preserve"> dado que:</w:t>
      </w:r>
    </w:p>
    <w:p w:rsidR="00EB03A1" w:rsidRPr="0016488B" w:rsidRDefault="00EB03A1" w:rsidP="00EB03A1">
      <w:pPr>
        <w:spacing w:line="360" w:lineRule="auto"/>
        <w:jc w:val="both"/>
        <w:rPr>
          <w:rFonts w:ascii="Arial" w:hAnsi="Arial" w:cs="Arial"/>
        </w:rPr>
      </w:pPr>
    </w:p>
    <w:p w:rsidR="00EB03A1" w:rsidRPr="0016488B" w:rsidRDefault="00EB03A1" w:rsidP="00EB03A1">
      <w:pPr>
        <w:pStyle w:val="NormalWeb"/>
        <w:spacing w:before="0" w:beforeAutospacing="0" w:after="0" w:afterAutospacing="0" w:line="360" w:lineRule="auto"/>
        <w:jc w:val="both"/>
        <w:rPr>
          <w:rStyle w:val="extracto"/>
          <w:rFonts w:ascii="Arial" w:hAnsi="Arial" w:cs="Arial"/>
        </w:rPr>
      </w:pPr>
      <w:r w:rsidRPr="0016488B">
        <w:rPr>
          <w:rStyle w:val="Textoennegrita"/>
          <w:rFonts w:ascii="Arial" w:hAnsi="Arial" w:cs="Arial"/>
          <w:b w:val="0"/>
        </w:rPr>
        <w:t>1.- </w:t>
      </w:r>
      <w:r w:rsidRPr="0016488B">
        <w:rPr>
          <w:rStyle w:val="extracto"/>
          <w:rFonts w:ascii="Arial" w:hAnsi="Arial" w:cs="Arial"/>
        </w:rPr>
        <w:t xml:space="preserve"> El contrato tenía una duración de diez años, habiéndose suscrito el 31 de enero de 2008.</w:t>
      </w:r>
    </w:p>
    <w:p w:rsidR="00EB03A1" w:rsidRPr="0016488B" w:rsidRDefault="00EB03A1" w:rsidP="00EB03A1">
      <w:pPr>
        <w:pStyle w:val="NormalWeb"/>
        <w:spacing w:before="0" w:beforeAutospacing="0" w:after="0" w:afterAutospacing="0" w:line="360" w:lineRule="auto"/>
        <w:jc w:val="both"/>
        <w:rPr>
          <w:rFonts w:ascii="Arial" w:hAnsi="Arial" w:cs="Arial"/>
        </w:rPr>
      </w:pPr>
    </w:p>
    <w:p w:rsidR="00EB03A1" w:rsidRPr="0016488B" w:rsidRDefault="00EB03A1" w:rsidP="00EB03A1">
      <w:pPr>
        <w:pStyle w:val="NormalWeb"/>
        <w:spacing w:before="0" w:beforeAutospacing="0" w:after="0" w:afterAutospacing="0" w:line="360" w:lineRule="auto"/>
        <w:jc w:val="both"/>
        <w:rPr>
          <w:rStyle w:val="extracto"/>
          <w:rFonts w:ascii="Arial" w:hAnsi="Arial" w:cs="Arial"/>
        </w:rPr>
      </w:pPr>
      <w:r w:rsidRPr="0016488B">
        <w:rPr>
          <w:rStyle w:val="Textoennegrita"/>
          <w:rFonts w:ascii="Arial" w:hAnsi="Arial" w:cs="Arial"/>
          <w:b w:val="0"/>
        </w:rPr>
        <w:lastRenderedPageBreak/>
        <w:t>2.- </w:t>
      </w:r>
      <w:r w:rsidRPr="0016488B">
        <w:rPr>
          <w:rFonts w:ascii="Arial" w:hAnsi="Arial" w:cs="Arial"/>
        </w:rPr>
        <w:t xml:space="preserve"> </w:t>
      </w:r>
      <w:r w:rsidRPr="0016488B">
        <w:rPr>
          <w:rStyle w:val="extracto"/>
          <w:rFonts w:ascii="Arial" w:hAnsi="Arial" w:cs="Arial"/>
        </w:rPr>
        <w:t>Se dio por resuelto por el arrendatario el 1 de diciembre de 2011, cuando el plazo de duración era hasta el 1 de febrero de 2018.</w:t>
      </w:r>
    </w:p>
    <w:p w:rsidR="00EB03A1" w:rsidRPr="0016488B" w:rsidRDefault="00EB03A1" w:rsidP="00EB03A1">
      <w:pPr>
        <w:pStyle w:val="NormalWeb"/>
        <w:spacing w:before="0" w:beforeAutospacing="0" w:after="0" w:afterAutospacing="0" w:line="360" w:lineRule="auto"/>
        <w:jc w:val="both"/>
        <w:rPr>
          <w:rFonts w:ascii="Arial" w:hAnsi="Arial" w:cs="Arial"/>
        </w:rPr>
      </w:pPr>
    </w:p>
    <w:p w:rsidR="00EB03A1" w:rsidRPr="0016488B" w:rsidRDefault="00EB03A1" w:rsidP="00EB03A1">
      <w:pPr>
        <w:pStyle w:val="NormalWeb"/>
        <w:spacing w:before="0" w:beforeAutospacing="0" w:after="0" w:afterAutospacing="0" w:line="360" w:lineRule="auto"/>
        <w:jc w:val="both"/>
        <w:rPr>
          <w:rStyle w:val="extracto"/>
          <w:rFonts w:ascii="Arial" w:hAnsi="Arial" w:cs="Arial"/>
        </w:rPr>
      </w:pPr>
      <w:r w:rsidRPr="0016488B">
        <w:rPr>
          <w:rStyle w:val="Textoennegrita"/>
          <w:rFonts w:ascii="Arial" w:hAnsi="Arial" w:cs="Arial"/>
          <w:b w:val="0"/>
        </w:rPr>
        <w:t>3.-</w:t>
      </w:r>
      <w:r w:rsidRPr="0016488B">
        <w:rPr>
          <w:rFonts w:ascii="Arial" w:hAnsi="Arial" w:cs="Arial"/>
        </w:rPr>
        <w:t xml:space="preserve">  </w:t>
      </w:r>
      <w:r w:rsidRPr="0016488B">
        <w:rPr>
          <w:rStyle w:val="extracto"/>
          <w:rFonts w:ascii="Arial" w:hAnsi="Arial" w:cs="Arial"/>
        </w:rPr>
        <w:t>En la resolución recurrida se reconoce la dificultad de obtener un nuevo arrendatario y el descenso de las rentas en el mercado, aunque considera que son argumentos insuficientes.</w:t>
      </w:r>
    </w:p>
    <w:p w:rsidR="00EB03A1" w:rsidRPr="0016488B" w:rsidRDefault="00EB03A1" w:rsidP="00EB03A1">
      <w:pPr>
        <w:pStyle w:val="NormalWeb"/>
        <w:spacing w:before="0" w:beforeAutospacing="0" w:after="0" w:afterAutospacing="0" w:line="360" w:lineRule="auto"/>
        <w:jc w:val="both"/>
        <w:rPr>
          <w:rFonts w:ascii="Arial" w:hAnsi="Arial" w:cs="Arial"/>
        </w:rPr>
      </w:pPr>
    </w:p>
    <w:p w:rsidR="00EB03A1" w:rsidRPr="0016488B" w:rsidRDefault="00EB03A1" w:rsidP="00EB03A1">
      <w:pPr>
        <w:numPr>
          <w:ilvl w:val="0"/>
          <w:numId w:val="11"/>
        </w:numPr>
        <w:spacing w:line="360" w:lineRule="auto"/>
        <w:ind w:left="0" w:firstLine="0"/>
        <w:jc w:val="both"/>
        <w:rPr>
          <w:rFonts w:ascii="Arial" w:hAnsi="Arial" w:cs="Arial"/>
        </w:rPr>
      </w:pPr>
      <w:r w:rsidRPr="0016488B">
        <w:rPr>
          <w:rStyle w:val="extracto"/>
          <w:rFonts w:ascii="Arial" w:hAnsi="Arial" w:cs="Arial"/>
        </w:rPr>
        <w:t xml:space="preserve">Por lo expuesto, esta Sala estimando parcialmente la casación, asume la instancia, </w:t>
      </w:r>
      <w:r w:rsidRPr="0016488B">
        <w:rPr>
          <w:rStyle w:val="Textoennegrita"/>
          <w:rFonts w:ascii="Arial" w:hAnsi="Arial" w:cs="Arial"/>
          <w:b w:val="0"/>
        </w:rPr>
        <w:t>manteniendo la indemnización fijada por el Juzgado, de cinco mensualidades de renta, por año que restaba del contrato,</w:t>
      </w:r>
      <w:r w:rsidRPr="0016488B">
        <w:rPr>
          <w:rStyle w:val="extracto"/>
          <w:rFonts w:ascii="Arial" w:hAnsi="Arial" w:cs="Arial"/>
        </w:rPr>
        <w:t xml:space="preserve"> cantidad que se reconoce como proporcionada, para un supuesto de resolución de contrato, de las características del analizado, máxime cuando el Juzgado estableció el cobro de la indemnización, siempre y cuando no volviera a arrendarse el local mientras el arrendador perciba mes a mes (hasta abril de 2014) la indemnización por impago de rentas, como consta en los antecedentes de hecho de la presente resolución, al transcribirse el fallo del Juzgado.</w:t>
      </w:r>
    </w:p>
    <w:p w:rsidR="00EB03A1" w:rsidRPr="0016488B" w:rsidRDefault="00EB03A1" w:rsidP="00EB03A1">
      <w:pPr>
        <w:pStyle w:val="NormalWeb"/>
        <w:spacing w:before="0" w:beforeAutospacing="0" w:after="0" w:afterAutospacing="0" w:line="360" w:lineRule="auto"/>
        <w:jc w:val="both"/>
        <w:rPr>
          <w:rFonts w:ascii="Arial" w:hAnsi="Arial" w:cs="Arial"/>
        </w:rPr>
      </w:pPr>
      <w:r w:rsidRPr="0016488B">
        <w:rPr>
          <w:rFonts w:ascii="Arial" w:hAnsi="Arial" w:cs="Arial"/>
        </w:rPr>
        <w:t> </w:t>
      </w:r>
    </w:p>
    <w:p w:rsidR="00EB03A1" w:rsidRPr="0016488B" w:rsidRDefault="00EB03A1" w:rsidP="00EB03A1">
      <w:pPr>
        <w:pStyle w:val="NormalWeb"/>
        <w:spacing w:before="0" w:beforeAutospacing="0" w:after="0" w:afterAutospacing="0" w:line="360" w:lineRule="auto"/>
        <w:jc w:val="both"/>
        <w:rPr>
          <w:rFonts w:ascii="Arial" w:hAnsi="Arial" w:cs="Arial"/>
        </w:rPr>
      </w:pPr>
      <w:r w:rsidRPr="0016488B">
        <w:rPr>
          <w:rStyle w:val="Textoennegrita"/>
          <w:rFonts w:ascii="Arial" w:hAnsi="Arial" w:cs="Arial"/>
          <w:b w:val="0"/>
        </w:rPr>
        <w:t>RECOMENDACIÓN:</w:t>
      </w:r>
      <w:proofErr w:type="gramStart"/>
      <w:r w:rsidRPr="0016488B">
        <w:rPr>
          <w:rStyle w:val="Textoennegrita"/>
          <w:rFonts w:ascii="Arial" w:hAnsi="Arial" w:cs="Arial"/>
          <w:b w:val="0"/>
        </w:rPr>
        <w:t> </w:t>
      </w:r>
      <w:r w:rsidRPr="0016488B">
        <w:rPr>
          <w:rFonts w:ascii="Arial" w:hAnsi="Arial" w:cs="Arial"/>
        </w:rPr>
        <w:t xml:space="preserve"> Os</w:t>
      </w:r>
      <w:proofErr w:type="gramEnd"/>
      <w:r w:rsidRPr="0016488B">
        <w:rPr>
          <w:rFonts w:ascii="Arial" w:hAnsi="Arial" w:cs="Arial"/>
        </w:rPr>
        <w:t xml:space="preserve"> recomendamos otro de nuestros artículos donde distinguimos los </w:t>
      </w:r>
      <w:r w:rsidRPr="0016488B">
        <w:rPr>
          <w:rStyle w:val="Textoennegrita"/>
          <w:rFonts w:ascii="Arial" w:hAnsi="Arial" w:cs="Arial"/>
          <w:b w:val="0"/>
        </w:rPr>
        <w:t>distintos supuestos en los que cabe o no indemnización por daños y perjuicios</w:t>
      </w:r>
      <w:r w:rsidRPr="0016488B">
        <w:rPr>
          <w:rFonts w:ascii="Arial" w:hAnsi="Arial" w:cs="Arial"/>
        </w:rPr>
        <w:t xml:space="preserve"> a favor del arrendador cuando el arrendatario </w:t>
      </w:r>
      <w:r w:rsidRPr="0016488B">
        <w:rPr>
          <w:rStyle w:val="Textoennegrita"/>
          <w:rFonts w:ascii="Arial" w:hAnsi="Arial" w:cs="Arial"/>
          <w:b w:val="0"/>
        </w:rPr>
        <w:t>desiste</w:t>
      </w:r>
      <w:r w:rsidRPr="0016488B">
        <w:rPr>
          <w:rFonts w:ascii="Arial" w:hAnsi="Arial" w:cs="Arial"/>
        </w:rPr>
        <w:t xml:space="preserve"> del cumplimiento del contrato.</w:t>
      </w:r>
    </w:p>
    <w:p w:rsidR="00EB03A1" w:rsidRPr="0016488B" w:rsidRDefault="00EB03A1" w:rsidP="00EB03A1">
      <w:pPr>
        <w:pStyle w:val="NormalWeb"/>
        <w:spacing w:before="0" w:beforeAutospacing="0" w:after="0" w:afterAutospacing="0" w:line="360" w:lineRule="auto"/>
        <w:jc w:val="both"/>
        <w:rPr>
          <w:rFonts w:ascii="Arial" w:hAnsi="Arial" w:cs="Arial"/>
        </w:rPr>
      </w:pPr>
      <w:r w:rsidRPr="0016488B">
        <w:rPr>
          <w:rFonts w:ascii="Arial" w:hAnsi="Arial" w:cs="Arial"/>
        </w:rPr>
        <w:t xml:space="preserve">  </w:t>
      </w:r>
    </w:p>
    <w:p w:rsidR="00EB03A1" w:rsidRPr="0016488B" w:rsidRDefault="00EB03A1" w:rsidP="0016488B">
      <w:pPr>
        <w:pStyle w:val="Ttulo2"/>
        <w:spacing w:before="0" w:after="0" w:line="360" w:lineRule="auto"/>
        <w:jc w:val="both"/>
        <w:rPr>
          <w:rFonts w:ascii="Arial" w:hAnsi="Arial" w:cs="Arial"/>
          <w:b w:val="0"/>
          <w:i w:val="0"/>
          <w:sz w:val="24"/>
          <w:szCs w:val="24"/>
        </w:rPr>
      </w:pPr>
      <w:proofErr w:type="spellStart"/>
      <w:r w:rsidRPr="0016488B">
        <w:rPr>
          <w:rStyle w:val="Textoennegrita"/>
          <w:rFonts w:ascii="Arial" w:hAnsi="Arial" w:cs="Arial"/>
          <w:bCs/>
          <w:i w:val="0"/>
          <w:sz w:val="24"/>
          <w:szCs w:val="24"/>
        </w:rPr>
        <w:t>CONCLUSION</w:t>
      </w:r>
      <w:proofErr w:type="spellEnd"/>
      <w:r w:rsidRPr="0016488B">
        <w:rPr>
          <w:rStyle w:val="Textoennegrita"/>
          <w:rFonts w:ascii="Arial" w:hAnsi="Arial" w:cs="Arial"/>
          <w:bCs/>
          <w:i w:val="0"/>
          <w:sz w:val="24"/>
          <w:szCs w:val="24"/>
        </w:rPr>
        <w:t>:</w:t>
      </w:r>
      <w:r w:rsidR="0016488B" w:rsidRPr="0016488B">
        <w:rPr>
          <w:rStyle w:val="Textoennegrita"/>
          <w:rFonts w:ascii="Arial" w:hAnsi="Arial" w:cs="Arial"/>
          <w:bCs/>
          <w:i w:val="0"/>
          <w:sz w:val="24"/>
          <w:szCs w:val="24"/>
        </w:rPr>
        <w:t xml:space="preserve"> </w:t>
      </w:r>
      <w:r w:rsidRPr="0016488B">
        <w:rPr>
          <w:rFonts w:ascii="Arial" w:hAnsi="Arial" w:cs="Arial"/>
          <w:i w:val="0"/>
          <w:sz w:val="24"/>
          <w:szCs w:val="24"/>
        </w:rPr>
        <w:t xml:space="preserve">Parece y digo parece, por lo que se desprende de esta sentencia, que el Tribunal Supremo entiende que si no se acredita por el arrendador la existencia de perjuicios concretos (“de mayor calado”), el importe de la indemnización por el desistimiento del arrendamiento de local será </w:t>
      </w:r>
      <w:r w:rsidRPr="0016488B">
        <w:rPr>
          <w:rFonts w:ascii="Arial" w:hAnsi="Arial" w:cs="Arial"/>
          <w:i w:val="0"/>
          <w:sz w:val="24"/>
          <w:szCs w:val="24"/>
          <w:u w:val="single"/>
        </w:rPr>
        <w:t>de una mensualidad por año que reste por cumplir</w:t>
      </w:r>
      <w:r w:rsidRPr="0016488B">
        <w:rPr>
          <w:rFonts w:ascii="Arial" w:hAnsi="Arial" w:cs="Arial"/>
          <w:i w:val="0"/>
          <w:sz w:val="24"/>
          <w:szCs w:val="24"/>
        </w:rPr>
        <w:t xml:space="preserve">, aplicando por analogía lo dispuesto en el art. 11.2 de la </w:t>
      </w:r>
      <w:proofErr w:type="spellStart"/>
      <w:r w:rsidRPr="0016488B">
        <w:rPr>
          <w:rFonts w:ascii="Arial" w:hAnsi="Arial" w:cs="Arial"/>
          <w:i w:val="0"/>
          <w:sz w:val="24"/>
          <w:szCs w:val="24"/>
        </w:rPr>
        <w:t>LAU</w:t>
      </w:r>
      <w:proofErr w:type="spellEnd"/>
      <w:r w:rsidRPr="0016488B">
        <w:rPr>
          <w:rFonts w:ascii="Arial" w:hAnsi="Arial" w:cs="Arial"/>
          <w:i w:val="0"/>
          <w:sz w:val="24"/>
          <w:szCs w:val="24"/>
        </w:rPr>
        <w:t xml:space="preserve"> para las viviendas.</w:t>
      </w:r>
    </w:p>
    <w:p w:rsidR="00EB03A1" w:rsidRPr="0016488B" w:rsidRDefault="00EB03A1" w:rsidP="00EB03A1">
      <w:pPr>
        <w:pStyle w:val="NormalWeb"/>
        <w:spacing w:before="0" w:beforeAutospacing="0" w:after="0" w:afterAutospacing="0" w:line="360" w:lineRule="auto"/>
        <w:jc w:val="both"/>
        <w:rPr>
          <w:rFonts w:ascii="Arial" w:hAnsi="Arial" w:cs="Arial"/>
        </w:rPr>
      </w:pPr>
    </w:p>
    <w:p w:rsidR="00EB03A1" w:rsidRPr="0016488B" w:rsidRDefault="00EB03A1" w:rsidP="00EB03A1">
      <w:pPr>
        <w:pStyle w:val="NormalWeb"/>
        <w:spacing w:before="0" w:beforeAutospacing="0" w:after="0" w:afterAutospacing="0" w:line="360" w:lineRule="auto"/>
        <w:jc w:val="both"/>
        <w:rPr>
          <w:rFonts w:ascii="Arial" w:hAnsi="Arial" w:cs="Arial"/>
        </w:rPr>
      </w:pPr>
      <w:r w:rsidRPr="0016488B">
        <w:rPr>
          <w:rFonts w:ascii="Arial" w:hAnsi="Arial" w:cs="Arial"/>
        </w:rPr>
        <w:lastRenderedPageBreak/>
        <w:t xml:space="preserve">Ahora bien, si el arrendador acredita perjuicios concretos, como en el caso </w:t>
      </w:r>
      <w:proofErr w:type="gramStart"/>
      <w:r w:rsidRPr="0016488B">
        <w:rPr>
          <w:rFonts w:ascii="Arial" w:hAnsi="Arial" w:cs="Arial"/>
        </w:rPr>
        <w:t>enjuiciado :</w:t>
      </w:r>
      <w:proofErr w:type="gramEnd"/>
      <w:r w:rsidRPr="0016488B">
        <w:rPr>
          <w:rFonts w:ascii="Arial" w:hAnsi="Arial" w:cs="Arial"/>
        </w:rPr>
        <w:t>  1) faltaba bastante tiempo para que venciera el contrato.  2) desde que se entregó la posesión el local no había sido alquilado por ninguna inmobiliaria donde se había puesto.  3) descenso del importe de los alquileres,…., podrá pedir una indemnización superior, que en este caso y sin que el Juzgado de Primera Instancia lo haya fundamentado, lo considera en CINCO MENSUALIDADES de renta por año que reste por cumplir.</w:t>
      </w:r>
    </w:p>
    <w:p w:rsidR="00EB03A1" w:rsidRPr="0016488B" w:rsidRDefault="00EB03A1" w:rsidP="00EB03A1">
      <w:pPr>
        <w:spacing w:line="360" w:lineRule="auto"/>
        <w:jc w:val="both"/>
        <w:rPr>
          <w:rFonts w:ascii="Arial" w:hAnsi="Arial" w:cs="Arial"/>
        </w:rPr>
      </w:pPr>
    </w:p>
    <w:p w:rsidR="00A46AC2" w:rsidRPr="0016488B" w:rsidRDefault="00A46AC2" w:rsidP="00EB03A1">
      <w:pPr>
        <w:shd w:val="clear" w:color="auto" w:fill="FFFFFF"/>
        <w:spacing w:line="360" w:lineRule="auto"/>
        <w:jc w:val="both"/>
        <w:textAlignment w:val="baseline"/>
        <w:rPr>
          <w:rFonts w:ascii="Arial" w:hAnsi="Arial" w:cs="Arial"/>
        </w:rPr>
      </w:pPr>
    </w:p>
    <w:p w:rsidR="001307A7" w:rsidRPr="0016488B" w:rsidRDefault="001307A7" w:rsidP="00EB03A1">
      <w:pPr>
        <w:shd w:val="clear" w:color="auto" w:fill="FFFFFF"/>
        <w:spacing w:line="360" w:lineRule="auto"/>
        <w:jc w:val="both"/>
        <w:textAlignment w:val="baseline"/>
        <w:rPr>
          <w:rFonts w:ascii="Arial" w:hAnsi="Arial" w:cs="Arial"/>
        </w:rPr>
      </w:pPr>
    </w:p>
    <w:p w:rsidR="00757A74" w:rsidRPr="0016488B" w:rsidRDefault="00757A74" w:rsidP="00EB03A1">
      <w:pPr>
        <w:shd w:val="clear" w:color="auto" w:fill="FFFFFF"/>
        <w:spacing w:line="360" w:lineRule="auto"/>
        <w:jc w:val="both"/>
        <w:textAlignment w:val="baseline"/>
        <w:rPr>
          <w:rFonts w:ascii="Arial" w:hAnsi="Arial" w:cs="Arial"/>
        </w:rPr>
      </w:pPr>
    </w:p>
    <w:p w:rsidR="001307A7" w:rsidRPr="0016488B" w:rsidRDefault="001307A7" w:rsidP="00EB03A1">
      <w:pPr>
        <w:shd w:val="clear" w:color="auto" w:fill="FFFFFF"/>
        <w:spacing w:line="360" w:lineRule="auto"/>
        <w:jc w:val="both"/>
        <w:textAlignment w:val="baseline"/>
        <w:rPr>
          <w:rFonts w:ascii="Arial" w:hAnsi="Arial" w:cs="Arial"/>
        </w:rPr>
      </w:pPr>
    </w:p>
    <w:p w:rsidR="001307A7" w:rsidRPr="0016488B" w:rsidRDefault="001307A7" w:rsidP="00EB03A1">
      <w:pPr>
        <w:shd w:val="clear" w:color="auto" w:fill="FFFFFF"/>
        <w:spacing w:line="360" w:lineRule="auto"/>
        <w:jc w:val="both"/>
        <w:textAlignment w:val="baseline"/>
        <w:rPr>
          <w:rFonts w:ascii="Arial" w:hAnsi="Arial" w:cs="Arial"/>
        </w:rPr>
      </w:pPr>
    </w:p>
    <w:p w:rsidR="001307A7" w:rsidRPr="0016488B" w:rsidRDefault="001307A7" w:rsidP="00EB03A1">
      <w:pPr>
        <w:shd w:val="clear" w:color="auto" w:fill="FFFFFF"/>
        <w:spacing w:line="360" w:lineRule="auto"/>
        <w:jc w:val="both"/>
        <w:textAlignment w:val="baseline"/>
        <w:rPr>
          <w:rFonts w:ascii="Arial" w:hAnsi="Arial" w:cs="Arial"/>
        </w:rPr>
      </w:pPr>
    </w:p>
    <w:p w:rsidR="006C634D" w:rsidRDefault="006C634D" w:rsidP="00EB03A1">
      <w:pPr>
        <w:spacing w:line="360" w:lineRule="auto"/>
        <w:jc w:val="both"/>
        <w:rPr>
          <w:rFonts w:ascii="Arial" w:hAnsi="Arial" w:cs="Arial"/>
        </w:rPr>
      </w:pPr>
    </w:p>
    <w:p w:rsidR="0016488B" w:rsidRDefault="0016488B" w:rsidP="00EB03A1">
      <w:pPr>
        <w:spacing w:line="360" w:lineRule="auto"/>
        <w:jc w:val="both"/>
        <w:rPr>
          <w:rFonts w:ascii="Arial" w:hAnsi="Arial" w:cs="Arial"/>
        </w:rPr>
      </w:pPr>
    </w:p>
    <w:p w:rsidR="0016488B" w:rsidRDefault="0016488B" w:rsidP="00EB03A1">
      <w:pPr>
        <w:spacing w:line="360" w:lineRule="auto"/>
        <w:jc w:val="both"/>
        <w:rPr>
          <w:rFonts w:ascii="Arial" w:hAnsi="Arial" w:cs="Arial"/>
        </w:rPr>
      </w:pPr>
    </w:p>
    <w:p w:rsidR="0016488B" w:rsidRDefault="0016488B" w:rsidP="00EB03A1">
      <w:pPr>
        <w:spacing w:line="360" w:lineRule="auto"/>
        <w:jc w:val="both"/>
        <w:rPr>
          <w:rFonts w:ascii="Arial" w:hAnsi="Arial" w:cs="Arial"/>
        </w:rPr>
      </w:pPr>
    </w:p>
    <w:p w:rsidR="0016488B" w:rsidRDefault="0016488B" w:rsidP="00EB03A1">
      <w:pPr>
        <w:spacing w:line="360" w:lineRule="auto"/>
        <w:jc w:val="both"/>
        <w:rPr>
          <w:rFonts w:ascii="Arial" w:hAnsi="Arial" w:cs="Arial"/>
        </w:rPr>
      </w:pPr>
    </w:p>
    <w:p w:rsidR="0016488B" w:rsidRDefault="0016488B" w:rsidP="00EB03A1">
      <w:pPr>
        <w:spacing w:line="360" w:lineRule="auto"/>
        <w:jc w:val="both"/>
        <w:rPr>
          <w:rFonts w:ascii="Arial" w:hAnsi="Arial" w:cs="Arial"/>
        </w:rPr>
      </w:pPr>
    </w:p>
    <w:p w:rsidR="0016488B" w:rsidRDefault="0016488B" w:rsidP="00EB03A1">
      <w:pPr>
        <w:spacing w:line="360" w:lineRule="auto"/>
        <w:jc w:val="both"/>
        <w:rPr>
          <w:rFonts w:ascii="Arial" w:hAnsi="Arial" w:cs="Arial"/>
        </w:rPr>
      </w:pPr>
    </w:p>
    <w:p w:rsidR="0016488B" w:rsidRDefault="0016488B" w:rsidP="00EB03A1">
      <w:pPr>
        <w:spacing w:line="360" w:lineRule="auto"/>
        <w:jc w:val="both"/>
        <w:rPr>
          <w:rFonts w:ascii="Arial" w:hAnsi="Arial" w:cs="Arial"/>
        </w:rPr>
      </w:pPr>
    </w:p>
    <w:p w:rsidR="0016488B" w:rsidRDefault="0016488B" w:rsidP="00EB03A1">
      <w:pPr>
        <w:spacing w:line="360" w:lineRule="auto"/>
        <w:jc w:val="both"/>
        <w:rPr>
          <w:rFonts w:ascii="Arial" w:hAnsi="Arial" w:cs="Arial"/>
        </w:rPr>
      </w:pPr>
    </w:p>
    <w:p w:rsidR="0016488B" w:rsidRDefault="0016488B" w:rsidP="00EB03A1">
      <w:pPr>
        <w:spacing w:line="360" w:lineRule="auto"/>
        <w:jc w:val="both"/>
        <w:rPr>
          <w:rFonts w:ascii="Arial" w:hAnsi="Arial" w:cs="Arial"/>
        </w:rPr>
      </w:pPr>
    </w:p>
    <w:p w:rsidR="0016488B" w:rsidRDefault="0016488B" w:rsidP="00EB03A1">
      <w:pPr>
        <w:spacing w:line="360" w:lineRule="auto"/>
        <w:jc w:val="both"/>
        <w:rPr>
          <w:rFonts w:ascii="Arial" w:hAnsi="Arial" w:cs="Arial"/>
        </w:rPr>
      </w:pPr>
    </w:p>
    <w:p w:rsidR="0016488B" w:rsidRDefault="0016488B" w:rsidP="00EB03A1">
      <w:pPr>
        <w:spacing w:line="360" w:lineRule="auto"/>
        <w:jc w:val="both"/>
        <w:rPr>
          <w:rFonts w:ascii="Arial" w:hAnsi="Arial" w:cs="Arial"/>
        </w:rPr>
      </w:pPr>
    </w:p>
    <w:p w:rsidR="0016488B" w:rsidRDefault="0016488B" w:rsidP="00EB03A1">
      <w:pPr>
        <w:spacing w:line="360" w:lineRule="auto"/>
        <w:jc w:val="both"/>
        <w:rPr>
          <w:rFonts w:ascii="Arial" w:hAnsi="Arial" w:cs="Arial"/>
        </w:rPr>
      </w:pPr>
    </w:p>
    <w:p w:rsidR="0016488B" w:rsidRDefault="0016488B" w:rsidP="00EB03A1">
      <w:pPr>
        <w:spacing w:line="360" w:lineRule="auto"/>
        <w:jc w:val="both"/>
        <w:rPr>
          <w:rFonts w:ascii="Arial" w:hAnsi="Arial" w:cs="Arial"/>
        </w:rPr>
      </w:pPr>
    </w:p>
    <w:p w:rsidR="0016488B" w:rsidRDefault="0016488B" w:rsidP="00EB03A1">
      <w:pPr>
        <w:spacing w:line="360" w:lineRule="auto"/>
        <w:jc w:val="both"/>
        <w:rPr>
          <w:rFonts w:ascii="Arial" w:hAnsi="Arial" w:cs="Arial"/>
        </w:rPr>
      </w:pPr>
    </w:p>
    <w:p w:rsidR="0016488B" w:rsidRPr="0016488B" w:rsidRDefault="0016488B" w:rsidP="00EB03A1">
      <w:pPr>
        <w:spacing w:line="360" w:lineRule="auto"/>
        <w:jc w:val="both"/>
        <w:rPr>
          <w:rFonts w:ascii="Arial" w:hAnsi="Arial" w:cs="Arial"/>
        </w:rPr>
      </w:pPr>
    </w:p>
    <w:p w:rsidR="003F6999" w:rsidRPr="0016488B" w:rsidRDefault="003F6999" w:rsidP="00EB03A1">
      <w:pPr>
        <w:spacing w:line="360" w:lineRule="auto"/>
        <w:jc w:val="both"/>
        <w:rPr>
          <w:rFonts w:ascii="Arial" w:hAnsi="Arial" w:cs="Arial"/>
        </w:rPr>
      </w:pPr>
    </w:p>
    <w:p w:rsidR="003F6999" w:rsidRPr="0016488B" w:rsidRDefault="003F6999" w:rsidP="00EB03A1">
      <w:pPr>
        <w:spacing w:line="360" w:lineRule="auto"/>
        <w:jc w:val="both"/>
        <w:rPr>
          <w:rFonts w:ascii="Arial" w:hAnsi="Arial" w:cs="Arial"/>
        </w:rPr>
      </w:pPr>
    </w:p>
    <w:p w:rsidR="00EB03A1" w:rsidRPr="0016488B" w:rsidRDefault="00EB03A1" w:rsidP="00EB03A1">
      <w:pPr>
        <w:spacing w:line="360" w:lineRule="auto"/>
        <w:jc w:val="both"/>
        <w:rPr>
          <w:rFonts w:ascii="Arial" w:hAnsi="Arial" w:cs="Arial"/>
        </w:rPr>
      </w:pPr>
    </w:p>
    <w:p w:rsidR="00EB03A1" w:rsidRPr="0016488B" w:rsidRDefault="00EB03A1" w:rsidP="00EB03A1">
      <w:pPr>
        <w:spacing w:line="360" w:lineRule="auto"/>
        <w:jc w:val="both"/>
        <w:rPr>
          <w:rFonts w:ascii="Arial" w:hAnsi="Arial" w:cs="Arial"/>
        </w:rPr>
      </w:pPr>
    </w:p>
    <w:p w:rsidR="0014143E" w:rsidRPr="0016488B" w:rsidRDefault="0014143E" w:rsidP="00EB03A1">
      <w:pPr>
        <w:spacing w:line="360" w:lineRule="auto"/>
        <w:jc w:val="both"/>
        <w:rPr>
          <w:rFonts w:ascii="Arial" w:hAnsi="Arial" w:cs="Arial"/>
        </w:rPr>
      </w:pPr>
    </w:p>
    <w:p w:rsidR="00AA2259" w:rsidRPr="0016488B" w:rsidRDefault="00AA2259" w:rsidP="00EB03A1">
      <w:pPr>
        <w:spacing w:line="360" w:lineRule="auto"/>
        <w:jc w:val="both"/>
        <w:rPr>
          <w:rFonts w:ascii="Arial" w:hAnsi="Arial" w:cs="Arial"/>
        </w:rPr>
      </w:pPr>
    </w:p>
    <w:p w:rsidR="009009ED" w:rsidRPr="0016488B" w:rsidRDefault="009009ED" w:rsidP="00EB03A1">
      <w:pPr>
        <w:spacing w:line="360" w:lineRule="auto"/>
        <w:jc w:val="both"/>
        <w:rPr>
          <w:rFonts w:ascii="Arial" w:hAnsi="Arial" w:cs="Arial"/>
        </w:rPr>
      </w:pPr>
      <w:r w:rsidRPr="0016488B">
        <w:rPr>
          <w:rFonts w:ascii="Arial" w:hAnsi="Arial" w:cs="Arial"/>
          <w:noProof/>
        </w:rPr>
        <w:drawing>
          <wp:inline distT="0" distB="0" distL="0" distR="0">
            <wp:extent cx="5444940" cy="3629959"/>
            <wp:effectExtent l="19050" t="0" r="3360" b="0"/>
            <wp:docPr id="27" name="Imagen 11" descr="C:\Users\Alfredo\Dropbox\artículos para la web JUNIO 2015\fotos comprimidas\abogados penalistas oviedo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lfredo\Dropbox\artículos para la web JUNIO 2015\fotos comprimidas\abogados penalistas oviedo (11).JPG"/>
                    <pic:cNvPicPr>
                      <a:picLocks noChangeAspect="1" noChangeArrowheads="1"/>
                    </pic:cNvPicPr>
                  </pic:nvPicPr>
                  <pic:blipFill>
                    <a:blip r:embed="rId19" cstate="print"/>
                    <a:srcRect/>
                    <a:stretch>
                      <a:fillRect/>
                    </a:stretch>
                  </pic:blipFill>
                  <pic:spPr bwMode="auto">
                    <a:xfrm>
                      <a:off x="0" y="0"/>
                      <a:ext cx="5459454" cy="3639635"/>
                    </a:xfrm>
                    <a:prstGeom prst="rect">
                      <a:avLst/>
                    </a:prstGeom>
                    <a:noFill/>
                    <a:ln w="9525">
                      <a:noFill/>
                      <a:miter lim="800000"/>
                      <a:headEnd/>
                      <a:tailEnd/>
                    </a:ln>
                  </pic:spPr>
                </pic:pic>
              </a:graphicData>
            </a:graphic>
          </wp:inline>
        </w:drawing>
      </w:r>
    </w:p>
    <w:p w:rsidR="009009ED" w:rsidRPr="0016488B" w:rsidRDefault="009009ED" w:rsidP="00EB03A1">
      <w:pPr>
        <w:spacing w:line="360" w:lineRule="auto"/>
        <w:jc w:val="both"/>
        <w:rPr>
          <w:rFonts w:ascii="Arial" w:hAnsi="Arial" w:cs="Arial"/>
        </w:rPr>
      </w:pPr>
    </w:p>
    <w:p w:rsidR="009009ED" w:rsidRPr="0016488B" w:rsidRDefault="009009ED"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9009ED" w:rsidP="00EB03A1">
      <w:pPr>
        <w:spacing w:line="360" w:lineRule="auto"/>
        <w:jc w:val="both"/>
        <w:rPr>
          <w:rFonts w:ascii="Arial" w:hAnsi="Arial" w:cs="Arial"/>
        </w:rPr>
      </w:pPr>
      <w:r w:rsidRPr="0016488B">
        <w:rPr>
          <w:rFonts w:ascii="Arial" w:hAnsi="Arial" w:cs="Arial"/>
          <w:noProof/>
        </w:rPr>
        <w:drawing>
          <wp:inline distT="0" distB="0" distL="0" distR="0">
            <wp:extent cx="5552766" cy="4007224"/>
            <wp:effectExtent l="19050" t="0" r="0" b="0"/>
            <wp:docPr id="26" name="Imagen 10" descr="C:\Users\Alfredo\Dropbox\artículos para la web JUNIO 2015\fotos comprimidas\abogados penalistas oviedo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lfredo\Dropbox\artículos para la web JUNIO 2015\fotos comprimidas\abogados penalistas oviedo (10).jpg"/>
                    <pic:cNvPicPr>
                      <a:picLocks noChangeAspect="1" noChangeArrowheads="1"/>
                    </pic:cNvPicPr>
                  </pic:nvPicPr>
                  <pic:blipFill>
                    <a:blip r:embed="rId20" cstate="print"/>
                    <a:srcRect/>
                    <a:stretch>
                      <a:fillRect/>
                    </a:stretch>
                  </pic:blipFill>
                  <pic:spPr bwMode="auto">
                    <a:xfrm>
                      <a:off x="0" y="0"/>
                      <a:ext cx="5559392" cy="4012006"/>
                    </a:xfrm>
                    <a:prstGeom prst="rect">
                      <a:avLst/>
                    </a:prstGeom>
                    <a:noFill/>
                    <a:ln w="9525">
                      <a:noFill/>
                      <a:miter lim="800000"/>
                      <a:headEnd/>
                      <a:tailEnd/>
                    </a:ln>
                  </pic:spPr>
                </pic:pic>
              </a:graphicData>
            </a:graphic>
          </wp:inline>
        </w:drawing>
      </w: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9009ED" w:rsidP="00EB03A1">
      <w:pPr>
        <w:spacing w:line="360" w:lineRule="auto"/>
        <w:jc w:val="both"/>
        <w:rPr>
          <w:rFonts w:ascii="Arial" w:hAnsi="Arial" w:cs="Arial"/>
        </w:rPr>
      </w:pPr>
      <w:r w:rsidRPr="0016488B">
        <w:rPr>
          <w:rFonts w:ascii="Arial" w:hAnsi="Arial" w:cs="Arial"/>
          <w:noProof/>
        </w:rPr>
        <w:drawing>
          <wp:inline distT="0" distB="0" distL="0" distR="0">
            <wp:extent cx="5808009" cy="3872006"/>
            <wp:effectExtent l="19050" t="0" r="2241" b="0"/>
            <wp:docPr id="25" name="Imagen 9" descr="C:\Users\Alfredo\Dropbox\artículos para la web JUNIO 2015\fotos comprimidas\abogados penalistas ovied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lfredo\Dropbox\artículos para la web JUNIO 2015\fotos comprimidas\abogados penalistas oviedo (9).jpg"/>
                    <pic:cNvPicPr>
                      <a:picLocks noChangeAspect="1" noChangeArrowheads="1"/>
                    </pic:cNvPicPr>
                  </pic:nvPicPr>
                  <pic:blipFill>
                    <a:blip r:embed="rId21" cstate="print"/>
                    <a:srcRect/>
                    <a:stretch>
                      <a:fillRect/>
                    </a:stretch>
                  </pic:blipFill>
                  <pic:spPr bwMode="auto">
                    <a:xfrm>
                      <a:off x="0" y="0"/>
                      <a:ext cx="5817628" cy="3878419"/>
                    </a:xfrm>
                    <a:prstGeom prst="rect">
                      <a:avLst/>
                    </a:prstGeom>
                    <a:noFill/>
                    <a:ln w="9525">
                      <a:noFill/>
                      <a:miter lim="800000"/>
                      <a:headEnd/>
                      <a:tailEnd/>
                    </a:ln>
                  </pic:spPr>
                </pic:pic>
              </a:graphicData>
            </a:graphic>
          </wp:inline>
        </w:drawing>
      </w: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9009ED" w:rsidRPr="0016488B" w:rsidRDefault="009009ED" w:rsidP="00EB03A1">
      <w:pPr>
        <w:spacing w:line="360" w:lineRule="auto"/>
        <w:jc w:val="both"/>
        <w:rPr>
          <w:rFonts w:ascii="Arial" w:hAnsi="Arial" w:cs="Arial"/>
        </w:rPr>
      </w:pPr>
      <w:r w:rsidRPr="0016488B">
        <w:rPr>
          <w:rFonts w:ascii="Arial" w:hAnsi="Arial" w:cs="Arial"/>
          <w:noProof/>
        </w:rPr>
        <w:drawing>
          <wp:inline distT="0" distB="0" distL="0" distR="0">
            <wp:extent cx="5419165" cy="3612776"/>
            <wp:effectExtent l="19050" t="0" r="0" b="0"/>
            <wp:docPr id="22" name="Imagen 6" descr="C:\Users\Alfredo\Dropbox\artículos para la web JUNIO 2015\fotos comprimidas\abogados penalistas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comprimidas\abogados penalistas oviedo (6).jpg"/>
                    <pic:cNvPicPr>
                      <a:picLocks noChangeAspect="1" noChangeArrowheads="1"/>
                    </pic:cNvPicPr>
                  </pic:nvPicPr>
                  <pic:blipFill>
                    <a:blip r:embed="rId22" cstate="print"/>
                    <a:srcRect/>
                    <a:stretch>
                      <a:fillRect/>
                    </a:stretch>
                  </pic:blipFill>
                  <pic:spPr bwMode="auto">
                    <a:xfrm>
                      <a:off x="0" y="0"/>
                      <a:ext cx="5438997" cy="3625997"/>
                    </a:xfrm>
                    <a:prstGeom prst="rect">
                      <a:avLst/>
                    </a:prstGeom>
                    <a:noFill/>
                    <a:ln w="9525">
                      <a:noFill/>
                      <a:miter lim="800000"/>
                      <a:headEnd/>
                      <a:tailEnd/>
                    </a:ln>
                  </pic:spPr>
                </pic:pic>
              </a:graphicData>
            </a:graphic>
          </wp:inline>
        </w:drawing>
      </w:r>
    </w:p>
    <w:p w:rsidR="009009ED" w:rsidRPr="0016488B" w:rsidRDefault="009009ED" w:rsidP="00EB03A1">
      <w:pPr>
        <w:spacing w:line="360" w:lineRule="auto"/>
        <w:jc w:val="both"/>
        <w:rPr>
          <w:rFonts w:ascii="Arial" w:hAnsi="Arial" w:cs="Arial"/>
        </w:rPr>
      </w:pPr>
    </w:p>
    <w:p w:rsidR="009009ED" w:rsidRPr="0016488B" w:rsidRDefault="009009ED"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9009ED" w:rsidRPr="0016488B" w:rsidRDefault="009009ED" w:rsidP="00EB03A1">
      <w:pPr>
        <w:spacing w:line="360" w:lineRule="auto"/>
        <w:jc w:val="both"/>
        <w:rPr>
          <w:rFonts w:ascii="Arial" w:hAnsi="Arial" w:cs="Arial"/>
        </w:rPr>
      </w:pPr>
    </w:p>
    <w:p w:rsidR="009009ED" w:rsidRPr="0016488B" w:rsidRDefault="009009ED" w:rsidP="00EB03A1">
      <w:pPr>
        <w:spacing w:line="360" w:lineRule="auto"/>
        <w:jc w:val="both"/>
        <w:rPr>
          <w:rFonts w:ascii="Arial" w:hAnsi="Arial" w:cs="Arial"/>
        </w:rPr>
      </w:pPr>
    </w:p>
    <w:p w:rsidR="004B5793" w:rsidRPr="0016488B" w:rsidRDefault="009009ED" w:rsidP="00EB03A1">
      <w:pPr>
        <w:spacing w:line="360" w:lineRule="auto"/>
        <w:jc w:val="both"/>
        <w:rPr>
          <w:rFonts w:ascii="Arial" w:hAnsi="Arial" w:cs="Arial"/>
        </w:rPr>
      </w:pPr>
      <w:r w:rsidRPr="0016488B">
        <w:rPr>
          <w:rFonts w:ascii="Arial" w:hAnsi="Arial" w:cs="Arial"/>
          <w:noProof/>
        </w:rPr>
        <w:drawing>
          <wp:inline distT="0" distB="0" distL="0" distR="0">
            <wp:extent cx="5592856" cy="3728571"/>
            <wp:effectExtent l="19050" t="0" r="7844" b="0"/>
            <wp:docPr id="21" name="Imagen 5" descr="C:\Users\Alfredo\Dropbox\artículos para la web JUNIO 2015\fotos comprimidas\abogados penalistas ovied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fredo\Dropbox\artículos para la web JUNIO 2015\fotos comprimidas\abogados penalistas oviedo (5).jpg"/>
                    <pic:cNvPicPr>
                      <a:picLocks noChangeAspect="1" noChangeArrowheads="1"/>
                    </pic:cNvPicPr>
                  </pic:nvPicPr>
                  <pic:blipFill>
                    <a:blip r:embed="rId23" cstate="print"/>
                    <a:srcRect/>
                    <a:stretch>
                      <a:fillRect/>
                    </a:stretch>
                  </pic:blipFill>
                  <pic:spPr bwMode="auto">
                    <a:xfrm>
                      <a:off x="0" y="0"/>
                      <a:ext cx="5600876" cy="3733918"/>
                    </a:xfrm>
                    <a:prstGeom prst="rect">
                      <a:avLst/>
                    </a:prstGeom>
                    <a:noFill/>
                    <a:ln w="9525">
                      <a:noFill/>
                      <a:miter lim="800000"/>
                      <a:headEnd/>
                      <a:tailEnd/>
                    </a:ln>
                  </pic:spPr>
                </pic:pic>
              </a:graphicData>
            </a:graphic>
          </wp:inline>
        </w:drawing>
      </w: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9009ED" w:rsidRPr="0016488B" w:rsidRDefault="009009ED" w:rsidP="00EB03A1">
      <w:pPr>
        <w:spacing w:line="360" w:lineRule="auto"/>
        <w:jc w:val="both"/>
        <w:rPr>
          <w:rFonts w:ascii="Arial" w:hAnsi="Arial" w:cs="Arial"/>
        </w:rPr>
      </w:pPr>
      <w:r w:rsidRPr="0016488B">
        <w:rPr>
          <w:rFonts w:ascii="Arial" w:hAnsi="Arial" w:cs="Arial"/>
          <w:noProof/>
        </w:rPr>
        <w:drawing>
          <wp:inline distT="0" distB="0" distL="0" distR="0">
            <wp:extent cx="5809130" cy="3872753"/>
            <wp:effectExtent l="19050" t="0" r="1120" b="0"/>
            <wp:docPr id="19" name="Imagen 3" descr="C:\Users\Alfredo\Dropbox\artículos para la web JUNIO 2015\fotos comprimidas\abogados penalistas ovied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fredo\Dropbox\artículos para la web JUNIO 2015\fotos comprimidas\abogados penalistas oviedo (3).jpg"/>
                    <pic:cNvPicPr>
                      <a:picLocks noChangeAspect="1" noChangeArrowheads="1"/>
                    </pic:cNvPicPr>
                  </pic:nvPicPr>
                  <pic:blipFill>
                    <a:blip r:embed="rId24" cstate="print"/>
                    <a:srcRect/>
                    <a:stretch>
                      <a:fillRect/>
                    </a:stretch>
                  </pic:blipFill>
                  <pic:spPr bwMode="auto">
                    <a:xfrm>
                      <a:off x="0" y="0"/>
                      <a:ext cx="5820753" cy="3880502"/>
                    </a:xfrm>
                    <a:prstGeom prst="rect">
                      <a:avLst/>
                    </a:prstGeom>
                    <a:noFill/>
                    <a:ln w="9525">
                      <a:noFill/>
                      <a:miter lim="800000"/>
                      <a:headEnd/>
                      <a:tailEnd/>
                    </a:ln>
                  </pic:spPr>
                </pic:pic>
              </a:graphicData>
            </a:graphic>
          </wp:inline>
        </w:drawing>
      </w:r>
    </w:p>
    <w:p w:rsidR="009009ED" w:rsidRPr="0016488B" w:rsidRDefault="009009ED" w:rsidP="00EB03A1">
      <w:pPr>
        <w:spacing w:line="360" w:lineRule="auto"/>
        <w:jc w:val="both"/>
        <w:rPr>
          <w:rFonts w:ascii="Arial" w:hAnsi="Arial" w:cs="Arial"/>
        </w:rPr>
      </w:pPr>
    </w:p>
    <w:p w:rsidR="009009ED" w:rsidRPr="0016488B" w:rsidRDefault="009009ED" w:rsidP="00EB03A1">
      <w:pPr>
        <w:spacing w:line="360" w:lineRule="auto"/>
        <w:jc w:val="both"/>
        <w:rPr>
          <w:rFonts w:ascii="Arial" w:hAnsi="Arial" w:cs="Arial"/>
        </w:rPr>
      </w:pPr>
    </w:p>
    <w:p w:rsidR="009009ED" w:rsidRPr="0016488B" w:rsidRDefault="009009ED" w:rsidP="00EB03A1">
      <w:pPr>
        <w:spacing w:line="360" w:lineRule="auto"/>
        <w:jc w:val="both"/>
        <w:rPr>
          <w:rFonts w:ascii="Arial" w:hAnsi="Arial" w:cs="Arial"/>
        </w:rPr>
      </w:pPr>
    </w:p>
    <w:p w:rsidR="009009ED" w:rsidRPr="0016488B" w:rsidRDefault="009009ED"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4B5793" w:rsidRPr="0016488B" w:rsidRDefault="004B5793" w:rsidP="00EB03A1">
      <w:pPr>
        <w:spacing w:line="360" w:lineRule="auto"/>
        <w:jc w:val="both"/>
        <w:rPr>
          <w:rFonts w:ascii="Arial" w:hAnsi="Arial" w:cs="Arial"/>
        </w:rPr>
      </w:pPr>
    </w:p>
    <w:p w:rsidR="00DB1736" w:rsidRPr="0016488B" w:rsidRDefault="009009ED" w:rsidP="00EB03A1">
      <w:pPr>
        <w:spacing w:line="360" w:lineRule="auto"/>
        <w:jc w:val="both"/>
        <w:rPr>
          <w:rFonts w:ascii="Arial" w:hAnsi="Arial" w:cs="Arial"/>
        </w:rPr>
      </w:pPr>
      <w:r w:rsidRPr="0016488B">
        <w:rPr>
          <w:rFonts w:ascii="Arial" w:hAnsi="Arial" w:cs="Arial"/>
          <w:noProof/>
        </w:rPr>
        <w:drawing>
          <wp:inline distT="0" distB="0" distL="0" distR="0">
            <wp:extent cx="5647764" cy="3890218"/>
            <wp:effectExtent l="19050" t="0" r="0" b="0"/>
            <wp:docPr id="12" name="Imagen 1" descr="C:\Users\Alfredo\Dropbox\artículos para la web JUNIO 2015\fotos comprimidas\abogados penalistas ovied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fredo\Dropbox\artículos para la web JUNIO 2015\fotos comprimidas\abogados penalistas oviedo (1).jpg"/>
                    <pic:cNvPicPr>
                      <a:picLocks noChangeAspect="1" noChangeArrowheads="1"/>
                    </pic:cNvPicPr>
                  </pic:nvPicPr>
                  <pic:blipFill>
                    <a:blip r:embed="rId25" cstate="print"/>
                    <a:srcRect/>
                    <a:stretch>
                      <a:fillRect/>
                    </a:stretch>
                  </pic:blipFill>
                  <pic:spPr bwMode="auto">
                    <a:xfrm>
                      <a:off x="0" y="0"/>
                      <a:ext cx="5659357" cy="3898203"/>
                    </a:xfrm>
                    <a:prstGeom prst="rect">
                      <a:avLst/>
                    </a:prstGeom>
                    <a:noFill/>
                    <a:ln w="9525">
                      <a:noFill/>
                      <a:miter lim="800000"/>
                      <a:headEnd/>
                      <a:tailEnd/>
                    </a:ln>
                  </pic:spPr>
                </pic:pic>
              </a:graphicData>
            </a:graphic>
          </wp:inline>
        </w:drawing>
      </w:r>
    </w:p>
    <w:p w:rsidR="00DB1736" w:rsidRPr="0016488B" w:rsidRDefault="00DB1736" w:rsidP="00EB03A1">
      <w:pPr>
        <w:spacing w:line="360" w:lineRule="auto"/>
        <w:jc w:val="both"/>
        <w:rPr>
          <w:rFonts w:ascii="Arial" w:hAnsi="Arial" w:cs="Arial"/>
        </w:rPr>
      </w:pPr>
    </w:p>
    <w:p w:rsidR="00DB1736" w:rsidRPr="0016488B" w:rsidRDefault="00DB1736" w:rsidP="00EB03A1">
      <w:pPr>
        <w:spacing w:line="360" w:lineRule="auto"/>
        <w:jc w:val="both"/>
        <w:rPr>
          <w:rFonts w:ascii="Arial" w:hAnsi="Arial" w:cs="Arial"/>
        </w:rPr>
      </w:pPr>
    </w:p>
    <w:p w:rsidR="00DB1736" w:rsidRPr="0016488B" w:rsidRDefault="00DB1736" w:rsidP="00EB03A1">
      <w:pPr>
        <w:spacing w:line="360" w:lineRule="auto"/>
        <w:jc w:val="both"/>
        <w:rPr>
          <w:rFonts w:ascii="Arial" w:hAnsi="Arial" w:cs="Arial"/>
        </w:rPr>
      </w:pPr>
    </w:p>
    <w:p w:rsidR="00DB1736" w:rsidRPr="0016488B" w:rsidRDefault="00DB1736" w:rsidP="00EB03A1">
      <w:pPr>
        <w:spacing w:line="360" w:lineRule="auto"/>
        <w:jc w:val="both"/>
        <w:rPr>
          <w:rFonts w:ascii="Arial" w:hAnsi="Arial" w:cs="Arial"/>
        </w:rPr>
      </w:pPr>
    </w:p>
    <w:p w:rsidR="00DB1736" w:rsidRPr="0016488B" w:rsidRDefault="00DB1736" w:rsidP="00EB03A1">
      <w:pPr>
        <w:spacing w:line="360" w:lineRule="auto"/>
        <w:jc w:val="both"/>
        <w:rPr>
          <w:rFonts w:ascii="Arial" w:hAnsi="Arial" w:cs="Arial"/>
        </w:rPr>
      </w:pPr>
    </w:p>
    <w:p w:rsidR="002821BC" w:rsidRPr="0016488B" w:rsidRDefault="002821BC" w:rsidP="00EB03A1">
      <w:pPr>
        <w:spacing w:line="360" w:lineRule="auto"/>
        <w:jc w:val="both"/>
        <w:rPr>
          <w:rFonts w:ascii="Arial" w:hAnsi="Arial" w:cs="Arial"/>
        </w:rPr>
      </w:pPr>
    </w:p>
    <w:p w:rsidR="00D02291" w:rsidRPr="0016488B" w:rsidRDefault="00D02291" w:rsidP="00EB03A1">
      <w:pPr>
        <w:spacing w:line="360" w:lineRule="auto"/>
        <w:jc w:val="both"/>
        <w:rPr>
          <w:rFonts w:ascii="Arial" w:hAnsi="Arial" w:cs="Arial"/>
        </w:rPr>
      </w:pPr>
    </w:p>
    <w:p w:rsidR="009519EE" w:rsidRPr="0016488B" w:rsidRDefault="009519EE" w:rsidP="00EB03A1">
      <w:pPr>
        <w:spacing w:line="360" w:lineRule="auto"/>
        <w:jc w:val="both"/>
        <w:rPr>
          <w:rFonts w:ascii="Arial" w:hAnsi="Arial" w:cs="Arial"/>
        </w:rPr>
      </w:pPr>
    </w:p>
    <w:sectPr w:rsidR="009519EE" w:rsidRPr="0016488B" w:rsidSect="00E47CD0">
      <w:headerReference w:type="even" r:id="rId26"/>
      <w:headerReference w:type="default" r:id="rId27"/>
      <w:footerReference w:type="even" r:id="rId28"/>
      <w:footerReference w:type="default" r:id="rId29"/>
      <w:headerReference w:type="first" r:id="rId30"/>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21E9" w:rsidRDefault="00DC21E9">
      <w:r>
        <w:separator/>
      </w:r>
    </w:p>
  </w:endnote>
  <w:endnote w:type="continuationSeparator" w:id="0">
    <w:p w:rsidR="00DC21E9" w:rsidRDefault="00DC21E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AF1721"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AF1721"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16488B">
      <w:rPr>
        <w:rStyle w:val="Nmerodepgina"/>
        <w:noProof/>
      </w:rPr>
      <w:t>20</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w:t>
    </w:r>
    <w:proofErr w:type="spellStart"/>
    <w:r>
      <w:rPr>
        <w:rFonts w:ascii="Arial" w:hAnsi="Arial" w:cs="Arial"/>
        <w:sz w:val="16"/>
        <w:szCs w:val="16"/>
      </w:rPr>
      <w:t>875f</w:t>
    </w:r>
    <w:proofErr w:type="spellEnd"/>
  </w:p>
  <w:p w:rsidR="00247F1A" w:rsidRPr="00741184" w:rsidRDefault="00247F1A" w:rsidP="00741184">
    <w:pPr>
      <w:pStyle w:val="Piedepgina"/>
      <w:jc w:val="center"/>
      <w:rPr>
        <w:rFonts w:ascii="Arial" w:hAnsi="Arial" w:cs="Arial"/>
        <w:sz w:val="16"/>
        <w:szCs w:val="16"/>
      </w:rPr>
    </w:pPr>
    <w:proofErr w:type="spellStart"/>
    <w:r>
      <w:rPr>
        <w:rFonts w:ascii="Arial" w:hAnsi="Arial" w:cs="Arial"/>
        <w:sz w:val="16"/>
        <w:szCs w:val="16"/>
      </w:rPr>
      <w:t>www.alfredogarcialopez.es</w:t>
    </w:r>
    <w:r w:rsidR="00EF669D">
      <w:rPr>
        <w:rFonts w:ascii="Arial" w:hAnsi="Arial" w:cs="Arial"/>
        <w:sz w:val="16"/>
        <w:szCs w:val="16"/>
      </w:rPr>
      <w:t>/com</w:t>
    </w:r>
    <w:proofErr w:type="spell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21E9" w:rsidRDefault="00DC21E9">
      <w:r>
        <w:separator/>
      </w:r>
    </w:p>
  </w:footnote>
  <w:footnote w:type="continuationSeparator" w:id="0">
    <w:p w:rsidR="00DC21E9" w:rsidRDefault="00DC21E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AF1721">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AF1721"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AF1721">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D2FDF"/>
    <w:multiLevelType w:val="multilevel"/>
    <w:tmpl w:val="748EE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FB2250"/>
    <w:multiLevelType w:val="multilevel"/>
    <w:tmpl w:val="43C68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7C2AA3"/>
    <w:multiLevelType w:val="multilevel"/>
    <w:tmpl w:val="D0583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B82F9C"/>
    <w:multiLevelType w:val="multilevel"/>
    <w:tmpl w:val="67443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7125EB"/>
    <w:multiLevelType w:val="multilevel"/>
    <w:tmpl w:val="B590E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E7C6802"/>
    <w:multiLevelType w:val="multilevel"/>
    <w:tmpl w:val="A59E0BCA"/>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7F923D0"/>
    <w:multiLevelType w:val="multilevel"/>
    <w:tmpl w:val="45CC1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CF82B6A"/>
    <w:multiLevelType w:val="multilevel"/>
    <w:tmpl w:val="88A25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12D0FE1"/>
    <w:multiLevelType w:val="multilevel"/>
    <w:tmpl w:val="A094E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6421DBA"/>
    <w:multiLevelType w:val="multilevel"/>
    <w:tmpl w:val="50068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7402030"/>
    <w:multiLevelType w:val="multilevel"/>
    <w:tmpl w:val="1ABAA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3"/>
  </w:num>
  <w:num w:numId="3">
    <w:abstractNumId w:val="4"/>
  </w:num>
  <w:num w:numId="4">
    <w:abstractNumId w:val="0"/>
  </w:num>
  <w:num w:numId="5">
    <w:abstractNumId w:val="5"/>
  </w:num>
  <w:num w:numId="6">
    <w:abstractNumId w:val="1"/>
  </w:num>
  <w:num w:numId="7">
    <w:abstractNumId w:val="2"/>
  </w:num>
  <w:num w:numId="8">
    <w:abstractNumId w:val="8"/>
  </w:num>
  <w:num w:numId="9">
    <w:abstractNumId w:val="6"/>
  </w:num>
  <w:num w:numId="10">
    <w:abstractNumId w:val="10"/>
  </w:num>
  <w:num w:numId="11">
    <w:abstractNumId w:val="7"/>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6"/>
  <w:proofState w:spelling="clean" w:grammar="clean"/>
  <w:stylePaneFormatFilter w:val="3F01"/>
  <w:defaultTabStop w:val="708"/>
  <w:hyphenationZone w:val="425"/>
  <w:characterSpacingControl w:val="doNotCompress"/>
  <w:hdrShapeDefaults>
    <o:shapedefaults v:ext="edit" spidmax="689154"/>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36E0"/>
    <w:rsid w:val="00016AA0"/>
    <w:rsid w:val="00017DA5"/>
    <w:rsid w:val="00022BD2"/>
    <w:rsid w:val="00024FEF"/>
    <w:rsid w:val="0003072D"/>
    <w:rsid w:val="00033922"/>
    <w:rsid w:val="00033CEB"/>
    <w:rsid w:val="000362A9"/>
    <w:rsid w:val="00037D25"/>
    <w:rsid w:val="00042584"/>
    <w:rsid w:val="00044D2E"/>
    <w:rsid w:val="000457B5"/>
    <w:rsid w:val="00046A79"/>
    <w:rsid w:val="00046E9D"/>
    <w:rsid w:val="00050711"/>
    <w:rsid w:val="00051042"/>
    <w:rsid w:val="000516A3"/>
    <w:rsid w:val="00053264"/>
    <w:rsid w:val="0005441C"/>
    <w:rsid w:val="000546BE"/>
    <w:rsid w:val="0005559E"/>
    <w:rsid w:val="00063CF8"/>
    <w:rsid w:val="00067363"/>
    <w:rsid w:val="00067615"/>
    <w:rsid w:val="000677B4"/>
    <w:rsid w:val="00067EEE"/>
    <w:rsid w:val="000704AB"/>
    <w:rsid w:val="00072160"/>
    <w:rsid w:val="00072735"/>
    <w:rsid w:val="00073B7E"/>
    <w:rsid w:val="000743A0"/>
    <w:rsid w:val="00075026"/>
    <w:rsid w:val="00076312"/>
    <w:rsid w:val="00077A88"/>
    <w:rsid w:val="00077BF4"/>
    <w:rsid w:val="000825EC"/>
    <w:rsid w:val="00083E4E"/>
    <w:rsid w:val="00086F28"/>
    <w:rsid w:val="000873CF"/>
    <w:rsid w:val="00087E34"/>
    <w:rsid w:val="000915CD"/>
    <w:rsid w:val="000941CA"/>
    <w:rsid w:val="00096DA1"/>
    <w:rsid w:val="000A133F"/>
    <w:rsid w:val="000A3582"/>
    <w:rsid w:val="000A6A5F"/>
    <w:rsid w:val="000B30D9"/>
    <w:rsid w:val="000C16DA"/>
    <w:rsid w:val="000C2041"/>
    <w:rsid w:val="000C22DA"/>
    <w:rsid w:val="000C337E"/>
    <w:rsid w:val="000C3873"/>
    <w:rsid w:val="000C47AE"/>
    <w:rsid w:val="000C4953"/>
    <w:rsid w:val="000D5D61"/>
    <w:rsid w:val="000D6B11"/>
    <w:rsid w:val="000E1823"/>
    <w:rsid w:val="000E27E7"/>
    <w:rsid w:val="000F1749"/>
    <w:rsid w:val="000F305D"/>
    <w:rsid w:val="000F5A8D"/>
    <w:rsid w:val="000F5EF4"/>
    <w:rsid w:val="000F7076"/>
    <w:rsid w:val="000F7844"/>
    <w:rsid w:val="0010060C"/>
    <w:rsid w:val="0010178D"/>
    <w:rsid w:val="00101CFD"/>
    <w:rsid w:val="00101E4E"/>
    <w:rsid w:val="0011301C"/>
    <w:rsid w:val="0011338B"/>
    <w:rsid w:val="001172ED"/>
    <w:rsid w:val="00117AA2"/>
    <w:rsid w:val="00117C70"/>
    <w:rsid w:val="001204C1"/>
    <w:rsid w:val="001209D4"/>
    <w:rsid w:val="00122D88"/>
    <w:rsid w:val="00123215"/>
    <w:rsid w:val="001232BE"/>
    <w:rsid w:val="00124EA1"/>
    <w:rsid w:val="00126642"/>
    <w:rsid w:val="001307A7"/>
    <w:rsid w:val="00131CFB"/>
    <w:rsid w:val="00135F63"/>
    <w:rsid w:val="001360FD"/>
    <w:rsid w:val="00136165"/>
    <w:rsid w:val="00137AEE"/>
    <w:rsid w:val="001403F3"/>
    <w:rsid w:val="00140D3C"/>
    <w:rsid w:val="00140F44"/>
    <w:rsid w:val="0014143E"/>
    <w:rsid w:val="001421F4"/>
    <w:rsid w:val="00142C8E"/>
    <w:rsid w:val="0014307B"/>
    <w:rsid w:val="00143B44"/>
    <w:rsid w:val="00144AB1"/>
    <w:rsid w:val="00145211"/>
    <w:rsid w:val="00146353"/>
    <w:rsid w:val="00146577"/>
    <w:rsid w:val="00150E4E"/>
    <w:rsid w:val="0015267B"/>
    <w:rsid w:val="00153427"/>
    <w:rsid w:val="001543FF"/>
    <w:rsid w:val="00155032"/>
    <w:rsid w:val="001551D6"/>
    <w:rsid w:val="00155425"/>
    <w:rsid w:val="00155B70"/>
    <w:rsid w:val="00157604"/>
    <w:rsid w:val="00162E93"/>
    <w:rsid w:val="00163318"/>
    <w:rsid w:val="0016353A"/>
    <w:rsid w:val="0016488B"/>
    <w:rsid w:val="00165508"/>
    <w:rsid w:val="00166951"/>
    <w:rsid w:val="00170C4A"/>
    <w:rsid w:val="00170D3F"/>
    <w:rsid w:val="00170F03"/>
    <w:rsid w:val="001737EB"/>
    <w:rsid w:val="00175CE4"/>
    <w:rsid w:val="001765E7"/>
    <w:rsid w:val="001771E6"/>
    <w:rsid w:val="00181091"/>
    <w:rsid w:val="001829D1"/>
    <w:rsid w:val="001829D4"/>
    <w:rsid w:val="00183795"/>
    <w:rsid w:val="00185C69"/>
    <w:rsid w:val="0018755D"/>
    <w:rsid w:val="00190868"/>
    <w:rsid w:val="0019129D"/>
    <w:rsid w:val="001949CF"/>
    <w:rsid w:val="00194C14"/>
    <w:rsid w:val="00195325"/>
    <w:rsid w:val="001969A3"/>
    <w:rsid w:val="001A12D0"/>
    <w:rsid w:val="001A15CD"/>
    <w:rsid w:val="001A52F2"/>
    <w:rsid w:val="001A6D78"/>
    <w:rsid w:val="001A7A63"/>
    <w:rsid w:val="001B78AD"/>
    <w:rsid w:val="001C0F7E"/>
    <w:rsid w:val="001C6A86"/>
    <w:rsid w:val="001C71E0"/>
    <w:rsid w:val="001D4C3A"/>
    <w:rsid w:val="001D5763"/>
    <w:rsid w:val="001D6AB5"/>
    <w:rsid w:val="001D7106"/>
    <w:rsid w:val="001E0A4E"/>
    <w:rsid w:val="001E0D97"/>
    <w:rsid w:val="001E278F"/>
    <w:rsid w:val="001E3E5C"/>
    <w:rsid w:val="001E438D"/>
    <w:rsid w:val="001E491C"/>
    <w:rsid w:val="001E5F6F"/>
    <w:rsid w:val="001F194A"/>
    <w:rsid w:val="001F2637"/>
    <w:rsid w:val="001F56C0"/>
    <w:rsid w:val="00201B79"/>
    <w:rsid w:val="00202275"/>
    <w:rsid w:val="00202D62"/>
    <w:rsid w:val="00204913"/>
    <w:rsid w:val="002054C7"/>
    <w:rsid w:val="00205758"/>
    <w:rsid w:val="00206865"/>
    <w:rsid w:val="00214BAE"/>
    <w:rsid w:val="0021672E"/>
    <w:rsid w:val="002201F6"/>
    <w:rsid w:val="00222D9D"/>
    <w:rsid w:val="00224282"/>
    <w:rsid w:val="00225477"/>
    <w:rsid w:val="00227116"/>
    <w:rsid w:val="00227944"/>
    <w:rsid w:val="0023233C"/>
    <w:rsid w:val="00232DFC"/>
    <w:rsid w:val="0023355F"/>
    <w:rsid w:val="00234CC5"/>
    <w:rsid w:val="00235A43"/>
    <w:rsid w:val="00236A04"/>
    <w:rsid w:val="00240EF5"/>
    <w:rsid w:val="00241163"/>
    <w:rsid w:val="00241305"/>
    <w:rsid w:val="00241A9E"/>
    <w:rsid w:val="00245534"/>
    <w:rsid w:val="002456D5"/>
    <w:rsid w:val="00246A0F"/>
    <w:rsid w:val="00246CF8"/>
    <w:rsid w:val="00247F1A"/>
    <w:rsid w:val="00250136"/>
    <w:rsid w:val="0025036B"/>
    <w:rsid w:val="002503E9"/>
    <w:rsid w:val="00250B2A"/>
    <w:rsid w:val="00255846"/>
    <w:rsid w:val="00257A44"/>
    <w:rsid w:val="00261EEC"/>
    <w:rsid w:val="00265D3C"/>
    <w:rsid w:val="002661E3"/>
    <w:rsid w:val="00266FF5"/>
    <w:rsid w:val="00267153"/>
    <w:rsid w:val="00270928"/>
    <w:rsid w:val="002726AC"/>
    <w:rsid w:val="002744D4"/>
    <w:rsid w:val="002759CE"/>
    <w:rsid w:val="002821BC"/>
    <w:rsid w:val="00282546"/>
    <w:rsid w:val="002825F6"/>
    <w:rsid w:val="00283E8B"/>
    <w:rsid w:val="00284FAC"/>
    <w:rsid w:val="002860A4"/>
    <w:rsid w:val="002863E2"/>
    <w:rsid w:val="00287D71"/>
    <w:rsid w:val="00296DF2"/>
    <w:rsid w:val="002A0150"/>
    <w:rsid w:val="002A06DB"/>
    <w:rsid w:val="002A2EE4"/>
    <w:rsid w:val="002A45BF"/>
    <w:rsid w:val="002A6352"/>
    <w:rsid w:val="002A670B"/>
    <w:rsid w:val="002B04BE"/>
    <w:rsid w:val="002B0D9C"/>
    <w:rsid w:val="002B268C"/>
    <w:rsid w:val="002B29D4"/>
    <w:rsid w:val="002B4021"/>
    <w:rsid w:val="002B579C"/>
    <w:rsid w:val="002B6667"/>
    <w:rsid w:val="002B7517"/>
    <w:rsid w:val="002B7B7F"/>
    <w:rsid w:val="002C2243"/>
    <w:rsid w:val="002C25AF"/>
    <w:rsid w:val="002C61B5"/>
    <w:rsid w:val="002C647F"/>
    <w:rsid w:val="002C68B7"/>
    <w:rsid w:val="002C6C5F"/>
    <w:rsid w:val="002D11AD"/>
    <w:rsid w:val="002D21BE"/>
    <w:rsid w:val="002D2ED2"/>
    <w:rsid w:val="002D32FE"/>
    <w:rsid w:val="002D4DBC"/>
    <w:rsid w:val="002D50B8"/>
    <w:rsid w:val="002E053F"/>
    <w:rsid w:val="002E2A3C"/>
    <w:rsid w:val="002E3AC7"/>
    <w:rsid w:val="002E3BC0"/>
    <w:rsid w:val="002E44E1"/>
    <w:rsid w:val="002F042F"/>
    <w:rsid w:val="002F0907"/>
    <w:rsid w:val="002F13C6"/>
    <w:rsid w:val="002F2F7D"/>
    <w:rsid w:val="002F46F4"/>
    <w:rsid w:val="002F6D88"/>
    <w:rsid w:val="002F7B53"/>
    <w:rsid w:val="00302E4F"/>
    <w:rsid w:val="00303054"/>
    <w:rsid w:val="00303BB2"/>
    <w:rsid w:val="0030557E"/>
    <w:rsid w:val="003067DF"/>
    <w:rsid w:val="00306DA2"/>
    <w:rsid w:val="00311908"/>
    <w:rsid w:val="003149AA"/>
    <w:rsid w:val="0031620C"/>
    <w:rsid w:val="00316C41"/>
    <w:rsid w:val="00317A4E"/>
    <w:rsid w:val="00317CFB"/>
    <w:rsid w:val="00320289"/>
    <w:rsid w:val="00323572"/>
    <w:rsid w:val="00323FC4"/>
    <w:rsid w:val="0032491A"/>
    <w:rsid w:val="0032681D"/>
    <w:rsid w:val="00326C83"/>
    <w:rsid w:val="00331994"/>
    <w:rsid w:val="00331A91"/>
    <w:rsid w:val="00332AC6"/>
    <w:rsid w:val="00332F1F"/>
    <w:rsid w:val="00333BF8"/>
    <w:rsid w:val="00334FAF"/>
    <w:rsid w:val="00336A68"/>
    <w:rsid w:val="003416DE"/>
    <w:rsid w:val="003458AA"/>
    <w:rsid w:val="00350383"/>
    <w:rsid w:val="00351ABF"/>
    <w:rsid w:val="00353DF2"/>
    <w:rsid w:val="00356957"/>
    <w:rsid w:val="00357DD2"/>
    <w:rsid w:val="00361A96"/>
    <w:rsid w:val="00361BCF"/>
    <w:rsid w:val="003631F5"/>
    <w:rsid w:val="00365E50"/>
    <w:rsid w:val="0036668D"/>
    <w:rsid w:val="00366E63"/>
    <w:rsid w:val="003672E1"/>
    <w:rsid w:val="0036733A"/>
    <w:rsid w:val="00367EC5"/>
    <w:rsid w:val="0037118A"/>
    <w:rsid w:val="00372666"/>
    <w:rsid w:val="00373292"/>
    <w:rsid w:val="003737F2"/>
    <w:rsid w:val="00374027"/>
    <w:rsid w:val="00375BC1"/>
    <w:rsid w:val="00380C01"/>
    <w:rsid w:val="00381299"/>
    <w:rsid w:val="003825CB"/>
    <w:rsid w:val="00383D99"/>
    <w:rsid w:val="00384B6A"/>
    <w:rsid w:val="00392899"/>
    <w:rsid w:val="00393327"/>
    <w:rsid w:val="003940A8"/>
    <w:rsid w:val="0039786D"/>
    <w:rsid w:val="003A1F2B"/>
    <w:rsid w:val="003A3123"/>
    <w:rsid w:val="003A6BA9"/>
    <w:rsid w:val="003B2016"/>
    <w:rsid w:val="003B28C1"/>
    <w:rsid w:val="003B294C"/>
    <w:rsid w:val="003B4424"/>
    <w:rsid w:val="003B5346"/>
    <w:rsid w:val="003B6C70"/>
    <w:rsid w:val="003B6FA8"/>
    <w:rsid w:val="003B70A6"/>
    <w:rsid w:val="003B736D"/>
    <w:rsid w:val="003C01BC"/>
    <w:rsid w:val="003C0CCA"/>
    <w:rsid w:val="003C1F2E"/>
    <w:rsid w:val="003C242B"/>
    <w:rsid w:val="003C31D5"/>
    <w:rsid w:val="003D0308"/>
    <w:rsid w:val="003D1CE9"/>
    <w:rsid w:val="003D31EA"/>
    <w:rsid w:val="003D3682"/>
    <w:rsid w:val="003D51C4"/>
    <w:rsid w:val="003D5696"/>
    <w:rsid w:val="003D5A4F"/>
    <w:rsid w:val="003D694C"/>
    <w:rsid w:val="003D6F6A"/>
    <w:rsid w:val="003E0849"/>
    <w:rsid w:val="003E2060"/>
    <w:rsid w:val="003E2382"/>
    <w:rsid w:val="003E3F2B"/>
    <w:rsid w:val="003E5D44"/>
    <w:rsid w:val="003E66C1"/>
    <w:rsid w:val="003E7310"/>
    <w:rsid w:val="003E7E2F"/>
    <w:rsid w:val="003F11D6"/>
    <w:rsid w:val="003F3FC2"/>
    <w:rsid w:val="003F6999"/>
    <w:rsid w:val="003F6C38"/>
    <w:rsid w:val="003F7727"/>
    <w:rsid w:val="00400D08"/>
    <w:rsid w:val="00401754"/>
    <w:rsid w:val="004026DE"/>
    <w:rsid w:val="00403FB6"/>
    <w:rsid w:val="0040638C"/>
    <w:rsid w:val="004069A0"/>
    <w:rsid w:val="00412BCB"/>
    <w:rsid w:val="004136B4"/>
    <w:rsid w:val="00414CA4"/>
    <w:rsid w:val="00415284"/>
    <w:rsid w:val="004164A6"/>
    <w:rsid w:val="004169D7"/>
    <w:rsid w:val="00424146"/>
    <w:rsid w:val="00424999"/>
    <w:rsid w:val="00424E68"/>
    <w:rsid w:val="00430075"/>
    <w:rsid w:val="004310CD"/>
    <w:rsid w:val="00433028"/>
    <w:rsid w:val="00434F53"/>
    <w:rsid w:val="0044046F"/>
    <w:rsid w:val="00441CF6"/>
    <w:rsid w:val="0044211B"/>
    <w:rsid w:val="00444A6A"/>
    <w:rsid w:val="00444E9C"/>
    <w:rsid w:val="00445C86"/>
    <w:rsid w:val="00446F88"/>
    <w:rsid w:val="00447A97"/>
    <w:rsid w:val="00447B6D"/>
    <w:rsid w:val="00447F11"/>
    <w:rsid w:val="00450935"/>
    <w:rsid w:val="00451F0E"/>
    <w:rsid w:val="0045264A"/>
    <w:rsid w:val="00453887"/>
    <w:rsid w:val="00453DE1"/>
    <w:rsid w:val="00457758"/>
    <w:rsid w:val="00457F59"/>
    <w:rsid w:val="0046105C"/>
    <w:rsid w:val="00461B15"/>
    <w:rsid w:val="00461E39"/>
    <w:rsid w:val="00464DB2"/>
    <w:rsid w:val="00465065"/>
    <w:rsid w:val="0046656C"/>
    <w:rsid w:val="00470834"/>
    <w:rsid w:val="004712E1"/>
    <w:rsid w:val="0047172D"/>
    <w:rsid w:val="00472F61"/>
    <w:rsid w:val="004744B1"/>
    <w:rsid w:val="0047453D"/>
    <w:rsid w:val="00475782"/>
    <w:rsid w:val="0048064B"/>
    <w:rsid w:val="004813E1"/>
    <w:rsid w:val="0048268F"/>
    <w:rsid w:val="0048332D"/>
    <w:rsid w:val="00483D29"/>
    <w:rsid w:val="00484304"/>
    <w:rsid w:val="004856E9"/>
    <w:rsid w:val="0048609A"/>
    <w:rsid w:val="0048734A"/>
    <w:rsid w:val="004908A3"/>
    <w:rsid w:val="0049251A"/>
    <w:rsid w:val="00494FEF"/>
    <w:rsid w:val="00495EC9"/>
    <w:rsid w:val="0049641D"/>
    <w:rsid w:val="004A04E5"/>
    <w:rsid w:val="004A2021"/>
    <w:rsid w:val="004A31AD"/>
    <w:rsid w:val="004A4482"/>
    <w:rsid w:val="004A6D3B"/>
    <w:rsid w:val="004A71B2"/>
    <w:rsid w:val="004B28BD"/>
    <w:rsid w:val="004B5793"/>
    <w:rsid w:val="004C1C76"/>
    <w:rsid w:val="004C1F35"/>
    <w:rsid w:val="004C2912"/>
    <w:rsid w:val="004C358F"/>
    <w:rsid w:val="004C4D7A"/>
    <w:rsid w:val="004C4DD6"/>
    <w:rsid w:val="004C5EF2"/>
    <w:rsid w:val="004C7442"/>
    <w:rsid w:val="004D1089"/>
    <w:rsid w:val="004D11E2"/>
    <w:rsid w:val="004D157E"/>
    <w:rsid w:val="004D192A"/>
    <w:rsid w:val="004D1D29"/>
    <w:rsid w:val="004D231A"/>
    <w:rsid w:val="004D2CC9"/>
    <w:rsid w:val="004D4741"/>
    <w:rsid w:val="004D4815"/>
    <w:rsid w:val="004D4B75"/>
    <w:rsid w:val="004D57A3"/>
    <w:rsid w:val="004D740A"/>
    <w:rsid w:val="004D7C75"/>
    <w:rsid w:val="004E07D0"/>
    <w:rsid w:val="004E07F8"/>
    <w:rsid w:val="004E0928"/>
    <w:rsid w:val="004E737A"/>
    <w:rsid w:val="004F185A"/>
    <w:rsid w:val="004F1AE6"/>
    <w:rsid w:val="004F39A9"/>
    <w:rsid w:val="004F4321"/>
    <w:rsid w:val="004F494F"/>
    <w:rsid w:val="004F7038"/>
    <w:rsid w:val="0050166F"/>
    <w:rsid w:val="00502F2D"/>
    <w:rsid w:val="00506161"/>
    <w:rsid w:val="005071ED"/>
    <w:rsid w:val="005109CF"/>
    <w:rsid w:val="00510B3A"/>
    <w:rsid w:val="005111CB"/>
    <w:rsid w:val="00511E39"/>
    <w:rsid w:val="00511F20"/>
    <w:rsid w:val="005160A3"/>
    <w:rsid w:val="00517752"/>
    <w:rsid w:val="00517927"/>
    <w:rsid w:val="0052042B"/>
    <w:rsid w:val="00521CDF"/>
    <w:rsid w:val="00524432"/>
    <w:rsid w:val="00530120"/>
    <w:rsid w:val="005310EF"/>
    <w:rsid w:val="005314CC"/>
    <w:rsid w:val="005323F6"/>
    <w:rsid w:val="00532AF4"/>
    <w:rsid w:val="00533FCF"/>
    <w:rsid w:val="0053730B"/>
    <w:rsid w:val="00537E4E"/>
    <w:rsid w:val="00540F1B"/>
    <w:rsid w:val="005537F8"/>
    <w:rsid w:val="00554FD4"/>
    <w:rsid w:val="005550E6"/>
    <w:rsid w:val="00555B56"/>
    <w:rsid w:val="0055678C"/>
    <w:rsid w:val="00557B2C"/>
    <w:rsid w:val="00561F15"/>
    <w:rsid w:val="005636FA"/>
    <w:rsid w:val="0056683D"/>
    <w:rsid w:val="00573B2A"/>
    <w:rsid w:val="00577EC0"/>
    <w:rsid w:val="00583DF0"/>
    <w:rsid w:val="00586A96"/>
    <w:rsid w:val="00586AA3"/>
    <w:rsid w:val="00587A94"/>
    <w:rsid w:val="00590C68"/>
    <w:rsid w:val="005913E9"/>
    <w:rsid w:val="00594857"/>
    <w:rsid w:val="00595B9D"/>
    <w:rsid w:val="00595E1F"/>
    <w:rsid w:val="00597940"/>
    <w:rsid w:val="005A0AF5"/>
    <w:rsid w:val="005B22DA"/>
    <w:rsid w:val="005B2316"/>
    <w:rsid w:val="005B364E"/>
    <w:rsid w:val="005B4DE8"/>
    <w:rsid w:val="005B56D9"/>
    <w:rsid w:val="005B6F38"/>
    <w:rsid w:val="005B75C9"/>
    <w:rsid w:val="005C19B9"/>
    <w:rsid w:val="005C22DD"/>
    <w:rsid w:val="005C42C4"/>
    <w:rsid w:val="005C523E"/>
    <w:rsid w:val="005D24D0"/>
    <w:rsid w:val="005D3C55"/>
    <w:rsid w:val="005D7F03"/>
    <w:rsid w:val="005E0B0D"/>
    <w:rsid w:val="005E548E"/>
    <w:rsid w:val="005E56CF"/>
    <w:rsid w:val="005F1F82"/>
    <w:rsid w:val="005F23CF"/>
    <w:rsid w:val="005F41D2"/>
    <w:rsid w:val="005F6243"/>
    <w:rsid w:val="005F6D20"/>
    <w:rsid w:val="005F7C83"/>
    <w:rsid w:val="0060154D"/>
    <w:rsid w:val="00605E0D"/>
    <w:rsid w:val="0061004A"/>
    <w:rsid w:val="00621861"/>
    <w:rsid w:val="00625C64"/>
    <w:rsid w:val="0063047C"/>
    <w:rsid w:val="00630B0B"/>
    <w:rsid w:val="0063121F"/>
    <w:rsid w:val="00632790"/>
    <w:rsid w:val="006338D1"/>
    <w:rsid w:val="0064212C"/>
    <w:rsid w:val="00643141"/>
    <w:rsid w:val="00645015"/>
    <w:rsid w:val="00646C1D"/>
    <w:rsid w:val="006505F3"/>
    <w:rsid w:val="00655691"/>
    <w:rsid w:val="00657119"/>
    <w:rsid w:val="00657BF6"/>
    <w:rsid w:val="0066098A"/>
    <w:rsid w:val="00662A21"/>
    <w:rsid w:val="0066302C"/>
    <w:rsid w:val="006631FB"/>
    <w:rsid w:val="006636A4"/>
    <w:rsid w:val="00664269"/>
    <w:rsid w:val="00664504"/>
    <w:rsid w:val="00667AD7"/>
    <w:rsid w:val="006716D9"/>
    <w:rsid w:val="00676AA2"/>
    <w:rsid w:val="00676E07"/>
    <w:rsid w:val="006774FA"/>
    <w:rsid w:val="00681C99"/>
    <w:rsid w:val="0068274B"/>
    <w:rsid w:val="00682A57"/>
    <w:rsid w:val="00684CF4"/>
    <w:rsid w:val="006877B4"/>
    <w:rsid w:val="0068783D"/>
    <w:rsid w:val="006928C9"/>
    <w:rsid w:val="006930B8"/>
    <w:rsid w:val="006936BB"/>
    <w:rsid w:val="00694729"/>
    <w:rsid w:val="006949F3"/>
    <w:rsid w:val="006958BD"/>
    <w:rsid w:val="00697334"/>
    <w:rsid w:val="00697F02"/>
    <w:rsid w:val="006A1490"/>
    <w:rsid w:val="006A1BCD"/>
    <w:rsid w:val="006A4E17"/>
    <w:rsid w:val="006A5309"/>
    <w:rsid w:val="006A61E4"/>
    <w:rsid w:val="006B159B"/>
    <w:rsid w:val="006B31D3"/>
    <w:rsid w:val="006B447B"/>
    <w:rsid w:val="006B453D"/>
    <w:rsid w:val="006B5836"/>
    <w:rsid w:val="006C0996"/>
    <w:rsid w:val="006C1DC1"/>
    <w:rsid w:val="006C350A"/>
    <w:rsid w:val="006C3DA2"/>
    <w:rsid w:val="006C634D"/>
    <w:rsid w:val="006C640B"/>
    <w:rsid w:val="006C6430"/>
    <w:rsid w:val="006D0258"/>
    <w:rsid w:val="006D4E8D"/>
    <w:rsid w:val="006D590F"/>
    <w:rsid w:val="006D5D22"/>
    <w:rsid w:val="006E0D4C"/>
    <w:rsid w:val="006E3887"/>
    <w:rsid w:val="006E6BA2"/>
    <w:rsid w:val="006E73A1"/>
    <w:rsid w:val="006E74F1"/>
    <w:rsid w:val="006E7547"/>
    <w:rsid w:val="006F4431"/>
    <w:rsid w:val="006F6E0F"/>
    <w:rsid w:val="007006B0"/>
    <w:rsid w:val="007019DC"/>
    <w:rsid w:val="00701F10"/>
    <w:rsid w:val="00702306"/>
    <w:rsid w:val="00702897"/>
    <w:rsid w:val="00703F1D"/>
    <w:rsid w:val="00703FAD"/>
    <w:rsid w:val="00704E8F"/>
    <w:rsid w:val="007105E5"/>
    <w:rsid w:val="00710F13"/>
    <w:rsid w:val="00712D3F"/>
    <w:rsid w:val="00717478"/>
    <w:rsid w:val="00721D3E"/>
    <w:rsid w:val="00722B02"/>
    <w:rsid w:val="00722C56"/>
    <w:rsid w:val="007252D3"/>
    <w:rsid w:val="007256D4"/>
    <w:rsid w:val="00726804"/>
    <w:rsid w:val="00727120"/>
    <w:rsid w:val="00727173"/>
    <w:rsid w:val="0072781A"/>
    <w:rsid w:val="00730F24"/>
    <w:rsid w:val="00731EBB"/>
    <w:rsid w:val="007320B2"/>
    <w:rsid w:val="007348FE"/>
    <w:rsid w:val="00734A63"/>
    <w:rsid w:val="00734BA9"/>
    <w:rsid w:val="00741184"/>
    <w:rsid w:val="007419EB"/>
    <w:rsid w:val="00742C05"/>
    <w:rsid w:val="00743988"/>
    <w:rsid w:val="007440F5"/>
    <w:rsid w:val="0074498C"/>
    <w:rsid w:val="007465D8"/>
    <w:rsid w:val="00747158"/>
    <w:rsid w:val="0075074B"/>
    <w:rsid w:val="00756F3A"/>
    <w:rsid w:val="00757A74"/>
    <w:rsid w:val="00760140"/>
    <w:rsid w:val="00760ECB"/>
    <w:rsid w:val="007635F9"/>
    <w:rsid w:val="00763C44"/>
    <w:rsid w:val="00765E89"/>
    <w:rsid w:val="00767711"/>
    <w:rsid w:val="00767F47"/>
    <w:rsid w:val="00772E66"/>
    <w:rsid w:val="0077398E"/>
    <w:rsid w:val="007771EA"/>
    <w:rsid w:val="00782C76"/>
    <w:rsid w:val="007855E5"/>
    <w:rsid w:val="00786044"/>
    <w:rsid w:val="00786F4F"/>
    <w:rsid w:val="00792B95"/>
    <w:rsid w:val="00793A58"/>
    <w:rsid w:val="00793DAF"/>
    <w:rsid w:val="00793DB1"/>
    <w:rsid w:val="007969C0"/>
    <w:rsid w:val="00797717"/>
    <w:rsid w:val="007A02EB"/>
    <w:rsid w:val="007A19AF"/>
    <w:rsid w:val="007A1D46"/>
    <w:rsid w:val="007A34C4"/>
    <w:rsid w:val="007A351D"/>
    <w:rsid w:val="007A4850"/>
    <w:rsid w:val="007A6627"/>
    <w:rsid w:val="007A6B05"/>
    <w:rsid w:val="007A761F"/>
    <w:rsid w:val="007B3BCE"/>
    <w:rsid w:val="007B4DB1"/>
    <w:rsid w:val="007C19AA"/>
    <w:rsid w:val="007C19D7"/>
    <w:rsid w:val="007C1D60"/>
    <w:rsid w:val="007C2808"/>
    <w:rsid w:val="007C312B"/>
    <w:rsid w:val="007C669E"/>
    <w:rsid w:val="007C6B36"/>
    <w:rsid w:val="007D0005"/>
    <w:rsid w:val="007D1270"/>
    <w:rsid w:val="007D25B7"/>
    <w:rsid w:val="007D64DE"/>
    <w:rsid w:val="007D689F"/>
    <w:rsid w:val="007E03E3"/>
    <w:rsid w:val="007E1316"/>
    <w:rsid w:val="007E2B11"/>
    <w:rsid w:val="007E33DE"/>
    <w:rsid w:val="007E4C61"/>
    <w:rsid w:val="007E5901"/>
    <w:rsid w:val="007E5FD3"/>
    <w:rsid w:val="007E7D5A"/>
    <w:rsid w:val="007F12CE"/>
    <w:rsid w:val="007F3791"/>
    <w:rsid w:val="007F497A"/>
    <w:rsid w:val="00800E14"/>
    <w:rsid w:val="0080169B"/>
    <w:rsid w:val="008019F1"/>
    <w:rsid w:val="00804079"/>
    <w:rsid w:val="008042FD"/>
    <w:rsid w:val="00805F59"/>
    <w:rsid w:val="00806BD3"/>
    <w:rsid w:val="00814915"/>
    <w:rsid w:val="00814E70"/>
    <w:rsid w:val="00815FBD"/>
    <w:rsid w:val="008162AD"/>
    <w:rsid w:val="00817F2A"/>
    <w:rsid w:val="00825050"/>
    <w:rsid w:val="00832245"/>
    <w:rsid w:val="008343D7"/>
    <w:rsid w:val="00840498"/>
    <w:rsid w:val="00841973"/>
    <w:rsid w:val="008420A6"/>
    <w:rsid w:val="00843326"/>
    <w:rsid w:val="0084497B"/>
    <w:rsid w:val="00845420"/>
    <w:rsid w:val="00845B49"/>
    <w:rsid w:val="00850985"/>
    <w:rsid w:val="00851897"/>
    <w:rsid w:val="008523FA"/>
    <w:rsid w:val="00852CBD"/>
    <w:rsid w:val="00855B9F"/>
    <w:rsid w:val="00856ED7"/>
    <w:rsid w:val="00860F3A"/>
    <w:rsid w:val="00862061"/>
    <w:rsid w:val="00865C66"/>
    <w:rsid w:val="00870332"/>
    <w:rsid w:val="00870CD3"/>
    <w:rsid w:val="00870EF6"/>
    <w:rsid w:val="00872127"/>
    <w:rsid w:val="0087231C"/>
    <w:rsid w:val="0087360D"/>
    <w:rsid w:val="00877B46"/>
    <w:rsid w:val="008802B6"/>
    <w:rsid w:val="008816F9"/>
    <w:rsid w:val="008839CF"/>
    <w:rsid w:val="00883B42"/>
    <w:rsid w:val="00886216"/>
    <w:rsid w:val="0088710E"/>
    <w:rsid w:val="0088771D"/>
    <w:rsid w:val="00890667"/>
    <w:rsid w:val="008916FC"/>
    <w:rsid w:val="00894816"/>
    <w:rsid w:val="00895754"/>
    <w:rsid w:val="008A04B0"/>
    <w:rsid w:val="008A0927"/>
    <w:rsid w:val="008A7198"/>
    <w:rsid w:val="008B027A"/>
    <w:rsid w:val="008B1379"/>
    <w:rsid w:val="008B1469"/>
    <w:rsid w:val="008B271D"/>
    <w:rsid w:val="008B475A"/>
    <w:rsid w:val="008B6D39"/>
    <w:rsid w:val="008C05D0"/>
    <w:rsid w:val="008C1B2F"/>
    <w:rsid w:val="008C1D08"/>
    <w:rsid w:val="008D740A"/>
    <w:rsid w:val="008E5B16"/>
    <w:rsid w:val="008E6D7F"/>
    <w:rsid w:val="008E7057"/>
    <w:rsid w:val="008F00DE"/>
    <w:rsid w:val="008F073F"/>
    <w:rsid w:val="008F15E4"/>
    <w:rsid w:val="008F30F8"/>
    <w:rsid w:val="008F4096"/>
    <w:rsid w:val="008F6439"/>
    <w:rsid w:val="00900919"/>
    <w:rsid w:val="009009ED"/>
    <w:rsid w:val="0090382B"/>
    <w:rsid w:val="00910B49"/>
    <w:rsid w:val="00911185"/>
    <w:rsid w:val="00911495"/>
    <w:rsid w:val="00911FEA"/>
    <w:rsid w:val="009126B9"/>
    <w:rsid w:val="0091270A"/>
    <w:rsid w:val="0091400C"/>
    <w:rsid w:val="00914687"/>
    <w:rsid w:val="00915170"/>
    <w:rsid w:val="00920163"/>
    <w:rsid w:val="00921DCD"/>
    <w:rsid w:val="00922762"/>
    <w:rsid w:val="009227EE"/>
    <w:rsid w:val="00927E4D"/>
    <w:rsid w:val="009361FA"/>
    <w:rsid w:val="009416AE"/>
    <w:rsid w:val="009422B8"/>
    <w:rsid w:val="009426CD"/>
    <w:rsid w:val="00942BDD"/>
    <w:rsid w:val="009431AB"/>
    <w:rsid w:val="009438A7"/>
    <w:rsid w:val="00943EA7"/>
    <w:rsid w:val="00946110"/>
    <w:rsid w:val="00947AA3"/>
    <w:rsid w:val="00947BA6"/>
    <w:rsid w:val="009519EE"/>
    <w:rsid w:val="00953B80"/>
    <w:rsid w:val="00955756"/>
    <w:rsid w:val="00960B1B"/>
    <w:rsid w:val="00961C33"/>
    <w:rsid w:val="00963694"/>
    <w:rsid w:val="00963829"/>
    <w:rsid w:val="009653C8"/>
    <w:rsid w:val="0096679C"/>
    <w:rsid w:val="00966939"/>
    <w:rsid w:val="00967966"/>
    <w:rsid w:val="0097066B"/>
    <w:rsid w:val="00971FA9"/>
    <w:rsid w:val="00972339"/>
    <w:rsid w:val="0097243F"/>
    <w:rsid w:val="009725D8"/>
    <w:rsid w:val="00974864"/>
    <w:rsid w:val="0097529C"/>
    <w:rsid w:val="00977700"/>
    <w:rsid w:val="00980CBF"/>
    <w:rsid w:val="00982CBB"/>
    <w:rsid w:val="00983DAD"/>
    <w:rsid w:val="00984342"/>
    <w:rsid w:val="00984632"/>
    <w:rsid w:val="009846AB"/>
    <w:rsid w:val="00985ACC"/>
    <w:rsid w:val="00985CDE"/>
    <w:rsid w:val="00987906"/>
    <w:rsid w:val="00991C9D"/>
    <w:rsid w:val="00993871"/>
    <w:rsid w:val="0099563E"/>
    <w:rsid w:val="00996BCB"/>
    <w:rsid w:val="009A0719"/>
    <w:rsid w:val="009A0A05"/>
    <w:rsid w:val="009A2007"/>
    <w:rsid w:val="009A2113"/>
    <w:rsid w:val="009A2266"/>
    <w:rsid w:val="009A3136"/>
    <w:rsid w:val="009A35C0"/>
    <w:rsid w:val="009A515E"/>
    <w:rsid w:val="009B27A2"/>
    <w:rsid w:val="009B39B1"/>
    <w:rsid w:val="009B433E"/>
    <w:rsid w:val="009B5B8D"/>
    <w:rsid w:val="009B6BE2"/>
    <w:rsid w:val="009B7116"/>
    <w:rsid w:val="009C1396"/>
    <w:rsid w:val="009C162D"/>
    <w:rsid w:val="009C1654"/>
    <w:rsid w:val="009C3C6E"/>
    <w:rsid w:val="009C4094"/>
    <w:rsid w:val="009C4524"/>
    <w:rsid w:val="009C4E81"/>
    <w:rsid w:val="009C6D7B"/>
    <w:rsid w:val="009C7714"/>
    <w:rsid w:val="009D1BF8"/>
    <w:rsid w:val="009D3B47"/>
    <w:rsid w:val="009D5342"/>
    <w:rsid w:val="009D5785"/>
    <w:rsid w:val="009D58A2"/>
    <w:rsid w:val="009D79B9"/>
    <w:rsid w:val="009E0EF0"/>
    <w:rsid w:val="009E1A38"/>
    <w:rsid w:val="009F140E"/>
    <w:rsid w:val="009F333D"/>
    <w:rsid w:val="009F356F"/>
    <w:rsid w:val="009F3578"/>
    <w:rsid w:val="009F494C"/>
    <w:rsid w:val="009F55F1"/>
    <w:rsid w:val="00A00301"/>
    <w:rsid w:val="00A0033F"/>
    <w:rsid w:val="00A00E65"/>
    <w:rsid w:val="00A00E6C"/>
    <w:rsid w:val="00A02F4C"/>
    <w:rsid w:val="00A02F6D"/>
    <w:rsid w:val="00A05DAC"/>
    <w:rsid w:val="00A07993"/>
    <w:rsid w:val="00A108F5"/>
    <w:rsid w:val="00A14BD6"/>
    <w:rsid w:val="00A14E96"/>
    <w:rsid w:val="00A16402"/>
    <w:rsid w:val="00A17A8C"/>
    <w:rsid w:val="00A22B86"/>
    <w:rsid w:val="00A22B98"/>
    <w:rsid w:val="00A24146"/>
    <w:rsid w:val="00A26AB9"/>
    <w:rsid w:val="00A26B35"/>
    <w:rsid w:val="00A30616"/>
    <w:rsid w:val="00A32604"/>
    <w:rsid w:val="00A3314E"/>
    <w:rsid w:val="00A34AB6"/>
    <w:rsid w:val="00A35735"/>
    <w:rsid w:val="00A41704"/>
    <w:rsid w:val="00A46AC2"/>
    <w:rsid w:val="00A5336A"/>
    <w:rsid w:val="00A57CF5"/>
    <w:rsid w:val="00A60FC0"/>
    <w:rsid w:val="00A61999"/>
    <w:rsid w:val="00A62018"/>
    <w:rsid w:val="00A624DC"/>
    <w:rsid w:val="00A6435C"/>
    <w:rsid w:val="00A650A6"/>
    <w:rsid w:val="00A71397"/>
    <w:rsid w:val="00A72052"/>
    <w:rsid w:val="00A74F75"/>
    <w:rsid w:val="00A8339A"/>
    <w:rsid w:val="00A83D2C"/>
    <w:rsid w:val="00A8474C"/>
    <w:rsid w:val="00A84D3A"/>
    <w:rsid w:val="00A9327F"/>
    <w:rsid w:val="00A95C68"/>
    <w:rsid w:val="00A9688F"/>
    <w:rsid w:val="00A96918"/>
    <w:rsid w:val="00A96FFE"/>
    <w:rsid w:val="00A97619"/>
    <w:rsid w:val="00AA2259"/>
    <w:rsid w:val="00AA6AE7"/>
    <w:rsid w:val="00AA7BA7"/>
    <w:rsid w:val="00AA7EDC"/>
    <w:rsid w:val="00AB6645"/>
    <w:rsid w:val="00AB6707"/>
    <w:rsid w:val="00AC0E7B"/>
    <w:rsid w:val="00AC2E6D"/>
    <w:rsid w:val="00AC3749"/>
    <w:rsid w:val="00AC610C"/>
    <w:rsid w:val="00AC66E3"/>
    <w:rsid w:val="00AD12E3"/>
    <w:rsid w:val="00AD4CA8"/>
    <w:rsid w:val="00AD4ED8"/>
    <w:rsid w:val="00AD6A06"/>
    <w:rsid w:val="00AD6B37"/>
    <w:rsid w:val="00AE0CDC"/>
    <w:rsid w:val="00AE1701"/>
    <w:rsid w:val="00AE359E"/>
    <w:rsid w:val="00AE7F81"/>
    <w:rsid w:val="00AF0E4C"/>
    <w:rsid w:val="00AF1721"/>
    <w:rsid w:val="00AF3041"/>
    <w:rsid w:val="00AF30DF"/>
    <w:rsid w:val="00AF3317"/>
    <w:rsid w:val="00AF4006"/>
    <w:rsid w:val="00AF4FF9"/>
    <w:rsid w:val="00B00F10"/>
    <w:rsid w:val="00B01332"/>
    <w:rsid w:val="00B0481C"/>
    <w:rsid w:val="00B07DFC"/>
    <w:rsid w:val="00B11575"/>
    <w:rsid w:val="00B121E1"/>
    <w:rsid w:val="00B13854"/>
    <w:rsid w:val="00B1439E"/>
    <w:rsid w:val="00B1491D"/>
    <w:rsid w:val="00B15AF5"/>
    <w:rsid w:val="00B1674E"/>
    <w:rsid w:val="00B17AD3"/>
    <w:rsid w:val="00B2104D"/>
    <w:rsid w:val="00B226F2"/>
    <w:rsid w:val="00B232F8"/>
    <w:rsid w:val="00B255B3"/>
    <w:rsid w:val="00B25CE4"/>
    <w:rsid w:val="00B267C7"/>
    <w:rsid w:val="00B274E9"/>
    <w:rsid w:val="00B30A91"/>
    <w:rsid w:val="00B32BCB"/>
    <w:rsid w:val="00B34083"/>
    <w:rsid w:val="00B3697E"/>
    <w:rsid w:val="00B4175A"/>
    <w:rsid w:val="00B42A16"/>
    <w:rsid w:val="00B4707A"/>
    <w:rsid w:val="00B51FE2"/>
    <w:rsid w:val="00B5283C"/>
    <w:rsid w:val="00B52CEA"/>
    <w:rsid w:val="00B665F0"/>
    <w:rsid w:val="00B6674D"/>
    <w:rsid w:val="00B70728"/>
    <w:rsid w:val="00B7291D"/>
    <w:rsid w:val="00B73B39"/>
    <w:rsid w:val="00B75112"/>
    <w:rsid w:val="00B756ED"/>
    <w:rsid w:val="00B77CE2"/>
    <w:rsid w:val="00B80312"/>
    <w:rsid w:val="00B81103"/>
    <w:rsid w:val="00B82E88"/>
    <w:rsid w:val="00B86728"/>
    <w:rsid w:val="00B8736D"/>
    <w:rsid w:val="00B879CC"/>
    <w:rsid w:val="00B90E01"/>
    <w:rsid w:val="00B912B4"/>
    <w:rsid w:val="00B92C02"/>
    <w:rsid w:val="00B94CE0"/>
    <w:rsid w:val="00B956CA"/>
    <w:rsid w:val="00B962CF"/>
    <w:rsid w:val="00BA3E7B"/>
    <w:rsid w:val="00BA65BE"/>
    <w:rsid w:val="00BA697C"/>
    <w:rsid w:val="00BA7AE0"/>
    <w:rsid w:val="00BB02A0"/>
    <w:rsid w:val="00BB0E21"/>
    <w:rsid w:val="00BB1FE4"/>
    <w:rsid w:val="00BB23CF"/>
    <w:rsid w:val="00BB37AC"/>
    <w:rsid w:val="00BB42CD"/>
    <w:rsid w:val="00BB5999"/>
    <w:rsid w:val="00BB6725"/>
    <w:rsid w:val="00BB6735"/>
    <w:rsid w:val="00BB6E2A"/>
    <w:rsid w:val="00BC0695"/>
    <w:rsid w:val="00BC0FC8"/>
    <w:rsid w:val="00BC305B"/>
    <w:rsid w:val="00BC30D9"/>
    <w:rsid w:val="00BC334E"/>
    <w:rsid w:val="00BC65E7"/>
    <w:rsid w:val="00BC76E9"/>
    <w:rsid w:val="00BD14A6"/>
    <w:rsid w:val="00BD1690"/>
    <w:rsid w:val="00BD3405"/>
    <w:rsid w:val="00BD4366"/>
    <w:rsid w:val="00BD5290"/>
    <w:rsid w:val="00BD5637"/>
    <w:rsid w:val="00BD6C6B"/>
    <w:rsid w:val="00BE1FCF"/>
    <w:rsid w:val="00BE3E2D"/>
    <w:rsid w:val="00BE40B1"/>
    <w:rsid w:val="00BE7E86"/>
    <w:rsid w:val="00BF0199"/>
    <w:rsid w:val="00BF104B"/>
    <w:rsid w:val="00BF27DE"/>
    <w:rsid w:val="00BF538F"/>
    <w:rsid w:val="00BF667F"/>
    <w:rsid w:val="00C00CFC"/>
    <w:rsid w:val="00C02DF5"/>
    <w:rsid w:val="00C06DF8"/>
    <w:rsid w:val="00C100F5"/>
    <w:rsid w:val="00C112F5"/>
    <w:rsid w:val="00C12E9B"/>
    <w:rsid w:val="00C12F38"/>
    <w:rsid w:val="00C15820"/>
    <w:rsid w:val="00C15FF8"/>
    <w:rsid w:val="00C17C54"/>
    <w:rsid w:val="00C23C6B"/>
    <w:rsid w:val="00C255CE"/>
    <w:rsid w:val="00C26665"/>
    <w:rsid w:val="00C31534"/>
    <w:rsid w:val="00C31D72"/>
    <w:rsid w:val="00C3441E"/>
    <w:rsid w:val="00C34EC6"/>
    <w:rsid w:val="00C35641"/>
    <w:rsid w:val="00C370A6"/>
    <w:rsid w:val="00C401BF"/>
    <w:rsid w:val="00C411BB"/>
    <w:rsid w:val="00C416CD"/>
    <w:rsid w:val="00C424D7"/>
    <w:rsid w:val="00C42DFB"/>
    <w:rsid w:val="00C43776"/>
    <w:rsid w:val="00C447AA"/>
    <w:rsid w:val="00C45B46"/>
    <w:rsid w:val="00C45E21"/>
    <w:rsid w:val="00C47429"/>
    <w:rsid w:val="00C474B5"/>
    <w:rsid w:val="00C512FC"/>
    <w:rsid w:val="00C52B72"/>
    <w:rsid w:val="00C53F78"/>
    <w:rsid w:val="00C54C6D"/>
    <w:rsid w:val="00C5559F"/>
    <w:rsid w:val="00C561AD"/>
    <w:rsid w:val="00C56536"/>
    <w:rsid w:val="00C62F9B"/>
    <w:rsid w:val="00C643BB"/>
    <w:rsid w:val="00C64A56"/>
    <w:rsid w:val="00C65388"/>
    <w:rsid w:val="00C66C7D"/>
    <w:rsid w:val="00C73B86"/>
    <w:rsid w:val="00C74157"/>
    <w:rsid w:val="00C74FA9"/>
    <w:rsid w:val="00C760CD"/>
    <w:rsid w:val="00C76228"/>
    <w:rsid w:val="00C76336"/>
    <w:rsid w:val="00C802C8"/>
    <w:rsid w:val="00C81535"/>
    <w:rsid w:val="00C82D60"/>
    <w:rsid w:val="00C85964"/>
    <w:rsid w:val="00C96FA0"/>
    <w:rsid w:val="00C97867"/>
    <w:rsid w:val="00CA103B"/>
    <w:rsid w:val="00CA1B08"/>
    <w:rsid w:val="00CA1E91"/>
    <w:rsid w:val="00CA250D"/>
    <w:rsid w:val="00CA390D"/>
    <w:rsid w:val="00CA4D7C"/>
    <w:rsid w:val="00CA7482"/>
    <w:rsid w:val="00CA7EDD"/>
    <w:rsid w:val="00CA7F0F"/>
    <w:rsid w:val="00CB09C3"/>
    <w:rsid w:val="00CB2852"/>
    <w:rsid w:val="00CB5861"/>
    <w:rsid w:val="00CB5DEA"/>
    <w:rsid w:val="00CB7DF6"/>
    <w:rsid w:val="00CC4A28"/>
    <w:rsid w:val="00CC6DE6"/>
    <w:rsid w:val="00CC7B6D"/>
    <w:rsid w:val="00CD0835"/>
    <w:rsid w:val="00CD0F80"/>
    <w:rsid w:val="00CD29DE"/>
    <w:rsid w:val="00CD4A33"/>
    <w:rsid w:val="00CD6A98"/>
    <w:rsid w:val="00CD78BB"/>
    <w:rsid w:val="00CD7B98"/>
    <w:rsid w:val="00CE207A"/>
    <w:rsid w:val="00CE233E"/>
    <w:rsid w:val="00CE253C"/>
    <w:rsid w:val="00CE34FA"/>
    <w:rsid w:val="00CE459B"/>
    <w:rsid w:val="00CE5E50"/>
    <w:rsid w:val="00CE6DAC"/>
    <w:rsid w:val="00CF00C7"/>
    <w:rsid w:val="00CF041B"/>
    <w:rsid w:val="00CF1639"/>
    <w:rsid w:val="00CF3B47"/>
    <w:rsid w:val="00CF48C2"/>
    <w:rsid w:val="00CF4A91"/>
    <w:rsid w:val="00CF612E"/>
    <w:rsid w:val="00D02291"/>
    <w:rsid w:val="00D04FB9"/>
    <w:rsid w:val="00D06A14"/>
    <w:rsid w:val="00D07FF9"/>
    <w:rsid w:val="00D12075"/>
    <w:rsid w:val="00D13FD6"/>
    <w:rsid w:val="00D144CA"/>
    <w:rsid w:val="00D15A68"/>
    <w:rsid w:val="00D170D1"/>
    <w:rsid w:val="00D17CFD"/>
    <w:rsid w:val="00D2098C"/>
    <w:rsid w:val="00D20FA5"/>
    <w:rsid w:val="00D21FFC"/>
    <w:rsid w:val="00D23363"/>
    <w:rsid w:val="00D23529"/>
    <w:rsid w:val="00D24ABE"/>
    <w:rsid w:val="00D26E42"/>
    <w:rsid w:val="00D27A93"/>
    <w:rsid w:val="00D3198F"/>
    <w:rsid w:val="00D32FF8"/>
    <w:rsid w:val="00D33815"/>
    <w:rsid w:val="00D33EE5"/>
    <w:rsid w:val="00D33F86"/>
    <w:rsid w:val="00D3404A"/>
    <w:rsid w:val="00D37D00"/>
    <w:rsid w:val="00D40796"/>
    <w:rsid w:val="00D40D50"/>
    <w:rsid w:val="00D417E1"/>
    <w:rsid w:val="00D430DF"/>
    <w:rsid w:val="00D44DD9"/>
    <w:rsid w:val="00D45B62"/>
    <w:rsid w:val="00D45F1E"/>
    <w:rsid w:val="00D46CBA"/>
    <w:rsid w:val="00D50D3C"/>
    <w:rsid w:val="00D53949"/>
    <w:rsid w:val="00D54079"/>
    <w:rsid w:val="00D549B2"/>
    <w:rsid w:val="00D549E0"/>
    <w:rsid w:val="00D5503C"/>
    <w:rsid w:val="00D557E5"/>
    <w:rsid w:val="00D60A2F"/>
    <w:rsid w:val="00D61219"/>
    <w:rsid w:val="00D640ED"/>
    <w:rsid w:val="00D6467F"/>
    <w:rsid w:val="00D65397"/>
    <w:rsid w:val="00D6655E"/>
    <w:rsid w:val="00D67092"/>
    <w:rsid w:val="00D677E7"/>
    <w:rsid w:val="00D70381"/>
    <w:rsid w:val="00D70616"/>
    <w:rsid w:val="00D71DD8"/>
    <w:rsid w:val="00D7270E"/>
    <w:rsid w:val="00D73551"/>
    <w:rsid w:val="00D74366"/>
    <w:rsid w:val="00D7624F"/>
    <w:rsid w:val="00D82304"/>
    <w:rsid w:val="00D83636"/>
    <w:rsid w:val="00D83FB0"/>
    <w:rsid w:val="00D84073"/>
    <w:rsid w:val="00D840C3"/>
    <w:rsid w:val="00D85B67"/>
    <w:rsid w:val="00D8664C"/>
    <w:rsid w:val="00D90BED"/>
    <w:rsid w:val="00D91BBD"/>
    <w:rsid w:val="00D93BDB"/>
    <w:rsid w:val="00D93C06"/>
    <w:rsid w:val="00D94E98"/>
    <w:rsid w:val="00D9660E"/>
    <w:rsid w:val="00DA035E"/>
    <w:rsid w:val="00DA2A7E"/>
    <w:rsid w:val="00DA3B37"/>
    <w:rsid w:val="00DA5CEF"/>
    <w:rsid w:val="00DA7836"/>
    <w:rsid w:val="00DB0789"/>
    <w:rsid w:val="00DB0B67"/>
    <w:rsid w:val="00DB107B"/>
    <w:rsid w:val="00DB1736"/>
    <w:rsid w:val="00DB3A08"/>
    <w:rsid w:val="00DB6265"/>
    <w:rsid w:val="00DB6FE4"/>
    <w:rsid w:val="00DB7CC5"/>
    <w:rsid w:val="00DC1095"/>
    <w:rsid w:val="00DC1455"/>
    <w:rsid w:val="00DC21E9"/>
    <w:rsid w:val="00DC2219"/>
    <w:rsid w:val="00DC287F"/>
    <w:rsid w:val="00DC42E5"/>
    <w:rsid w:val="00DC669A"/>
    <w:rsid w:val="00DC7EF8"/>
    <w:rsid w:val="00DD1B7E"/>
    <w:rsid w:val="00DD2A26"/>
    <w:rsid w:val="00DD529E"/>
    <w:rsid w:val="00DD6B7F"/>
    <w:rsid w:val="00DD7FE9"/>
    <w:rsid w:val="00DE3395"/>
    <w:rsid w:val="00DE4686"/>
    <w:rsid w:val="00DE761A"/>
    <w:rsid w:val="00DF069E"/>
    <w:rsid w:val="00DF2C68"/>
    <w:rsid w:val="00E0075E"/>
    <w:rsid w:val="00E00F46"/>
    <w:rsid w:val="00E02F08"/>
    <w:rsid w:val="00E056CD"/>
    <w:rsid w:val="00E058E4"/>
    <w:rsid w:val="00E07BDD"/>
    <w:rsid w:val="00E07D78"/>
    <w:rsid w:val="00E10E58"/>
    <w:rsid w:val="00E10F92"/>
    <w:rsid w:val="00E112EC"/>
    <w:rsid w:val="00E113EC"/>
    <w:rsid w:val="00E116DF"/>
    <w:rsid w:val="00E123C5"/>
    <w:rsid w:val="00E14E5D"/>
    <w:rsid w:val="00E15970"/>
    <w:rsid w:val="00E226A3"/>
    <w:rsid w:val="00E25057"/>
    <w:rsid w:val="00E32759"/>
    <w:rsid w:val="00E33AB0"/>
    <w:rsid w:val="00E348A5"/>
    <w:rsid w:val="00E40DAC"/>
    <w:rsid w:val="00E42755"/>
    <w:rsid w:val="00E42BF7"/>
    <w:rsid w:val="00E43B6D"/>
    <w:rsid w:val="00E43B72"/>
    <w:rsid w:val="00E46A85"/>
    <w:rsid w:val="00E47CD0"/>
    <w:rsid w:val="00E51257"/>
    <w:rsid w:val="00E52D15"/>
    <w:rsid w:val="00E54A89"/>
    <w:rsid w:val="00E57524"/>
    <w:rsid w:val="00E614F2"/>
    <w:rsid w:val="00E634E5"/>
    <w:rsid w:val="00E637DB"/>
    <w:rsid w:val="00E65C23"/>
    <w:rsid w:val="00E6697D"/>
    <w:rsid w:val="00E66B9E"/>
    <w:rsid w:val="00E71175"/>
    <w:rsid w:val="00E72249"/>
    <w:rsid w:val="00E73FED"/>
    <w:rsid w:val="00E75290"/>
    <w:rsid w:val="00E803DC"/>
    <w:rsid w:val="00E852FB"/>
    <w:rsid w:val="00E85BD7"/>
    <w:rsid w:val="00E9104D"/>
    <w:rsid w:val="00E9104F"/>
    <w:rsid w:val="00E9115F"/>
    <w:rsid w:val="00E913E2"/>
    <w:rsid w:val="00E932ED"/>
    <w:rsid w:val="00E9446C"/>
    <w:rsid w:val="00E965BD"/>
    <w:rsid w:val="00E9696F"/>
    <w:rsid w:val="00EA0389"/>
    <w:rsid w:val="00EA0ED5"/>
    <w:rsid w:val="00EA117C"/>
    <w:rsid w:val="00EA3358"/>
    <w:rsid w:val="00EA481E"/>
    <w:rsid w:val="00EA6523"/>
    <w:rsid w:val="00EA76F3"/>
    <w:rsid w:val="00EA7AE7"/>
    <w:rsid w:val="00EB03A1"/>
    <w:rsid w:val="00EB27C2"/>
    <w:rsid w:val="00EB32D4"/>
    <w:rsid w:val="00EB47E7"/>
    <w:rsid w:val="00EB4BF1"/>
    <w:rsid w:val="00EB53BE"/>
    <w:rsid w:val="00EB592E"/>
    <w:rsid w:val="00EB5DEB"/>
    <w:rsid w:val="00EB602F"/>
    <w:rsid w:val="00EB7936"/>
    <w:rsid w:val="00EC0DFD"/>
    <w:rsid w:val="00EC0F42"/>
    <w:rsid w:val="00EC325E"/>
    <w:rsid w:val="00EC4C56"/>
    <w:rsid w:val="00EC5A82"/>
    <w:rsid w:val="00EC65E3"/>
    <w:rsid w:val="00EC6633"/>
    <w:rsid w:val="00EC7431"/>
    <w:rsid w:val="00ED0988"/>
    <w:rsid w:val="00ED148D"/>
    <w:rsid w:val="00ED2338"/>
    <w:rsid w:val="00ED4B6B"/>
    <w:rsid w:val="00ED5F41"/>
    <w:rsid w:val="00EE229B"/>
    <w:rsid w:val="00EE637C"/>
    <w:rsid w:val="00EE7B55"/>
    <w:rsid w:val="00EF0196"/>
    <w:rsid w:val="00EF1B04"/>
    <w:rsid w:val="00EF3860"/>
    <w:rsid w:val="00EF42E4"/>
    <w:rsid w:val="00EF669D"/>
    <w:rsid w:val="00F01347"/>
    <w:rsid w:val="00F01483"/>
    <w:rsid w:val="00F064C2"/>
    <w:rsid w:val="00F067C7"/>
    <w:rsid w:val="00F13845"/>
    <w:rsid w:val="00F139F2"/>
    <w:rsid w:val="00F14190"/>
    <w:rsid w:val="00F144D9"/>
    <w:rsid w:val="00F178D3"/>
    <w:rsid w:val="00F2402F"/>
    <w:rsid w:val="00F277B3"/>
    <w:rsid w:val="00F30A15"/>
    <w:rsid w:val="00F3117E"/>
    <w:rsid w:val="00F32C5C"/>
    <w:rsid w:val="00F338AF"/>
    <w:rsid w:val="00F34A5F"/>
    <w:rsid w:val="00F357CB"/>
    <w:rsid w:val="00F361D2"/>
    <w:rsid w:val="00F365A4"/>
    <w:rsid w:val="00F412F6"/>
    <w:rsid w:val="00F43004"/>
    <w:rsid w:val="00F45169"/>
    <w:rsid w:val="00F46966"/>
    <w:rsid w:val="00F46BCE"/>
    <w:rsid w:val="00F50A25"/>
    <w:rsid w:val="00F50D86"/>
    <w:rsid w:val="00F513B5"/>
    <w:rsid w:val="00F538E0"/>
    <w:rsid w:val="00F53CB8"/>
    <w:rsid w:val="00F53EA7"/>
    <w:rsid w:val="00F56E96"/>
    <w:rsid w:val="00F60294"/>
    <w:rsid w:val="00F606E4"/>
    <w:rsid w:val="00F60E02"/>
    <w:rsid w:val="00F63FD9"/>
    <w:rsid w:val="00F64D09"/>
    <w:rsid w:val="00F66636"/>
    <w:rsid w:val="00F70E19"/>
    <w:rsid w:val="00F719CF"/>
    <w:rsid w:val="00F73E7A"/>
    <w:rsid w:val="00F76C6A"/>
    <w:rsid w:val="00F776B9"/>
    <w:rsid w:val="00F84F78"/>
    <w:rsid w:val="00F86132"/>
    <w:rsid w:val="00F869B5"/>
    <w:rsid w:val="00F875D9"/>
    <w:rsid w:val="00F876FB"/>
    <w:rsid w:val="00F931CB"/>
    <w:rsid w:val="00FA1E6D"/>
    <w:rsid w:val="00FA3AA0"/>
    <w:rsid w:val="00FA3CE9"/>
    <w:rsid w:val="00FA6D0F"/>
    <w:rsid w:val="00FA6E90"/>
    <w:rsid w:val="00FB0C8A"/>
    <w:rsid w:val="00FB1706"/>
    <w:rsid w:val="00FB1CAF"/>
    <w:rsid w:val="00FB39C9"/>
    <w:rsid w:val="00FB3E39"/>
    <w:rsid w:val="00FB6E23"/>
    <w:rsid w:val="00FB7FAE"/>
    <w:rsid w:val="00FC0003"/>
    <w:rsid w:val="00FC02D8"/>
    <w:rsid w:val="00FC4BD4"/>
    <w:rsid w:val="00FC5475"/>
    <w:rsid w:val="00FC6827"/>
    <w:rsid w:val="00FD0CAD"/>
    <w:rsid w:val="00FD6398"/>
    <w:rsid w:val="00FD7C3C"/>
    <w:rsid w:val="00FE2BEE"/>
    <w:rsid w:val="00FE3DA4"/>
    <w:rsid w:val="00FE78B4"/>
    <w:rsid w:val="00FF068A"/>
    <w:rsid w:val="00FF2C17"/>
    <w:rsid w:val="00FF40B6"/>
    <w:rsid w:val="00FF4C17"/>
    <w:rsid w:val="00FF6DED"/>
    <w:rsid w:val="00FF708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iPriority w:val="99"/>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uiPriority w:val="20"/>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 w:type="paragraph" w:customStyle="1" w:styleId="summary-lead">
    <w:name w:val="summary-lead"/>
    <w:basedOn w:val="Normal"/>
    <w:rsid w:val="00A16402"/>
    <w:pPr>
      <w:spacing w:before="100" w:beforeAutospacing="1" w:after="100" w:afterAutospacing="1"/>
    </w:pPr>
  </w:style>
  <w:style w:type="character" w:customStyle="1" w:styleId="in-right">
    <w:name w:val="in-right"/>
    <w:basedOn w:val="Fuentedeprrafopredeter"/>
    <w:rsid w:val="00BE1FCF"/>
  </w:style>
  <w:style w:type="paragraph" w:customStyle="1" w:styleId="selectionshareable">
    <w:name w:val="selectionshareable"/>
    <w:basedOn w:val="Normal"/>
    <w:rsid w:val="00BE1FCF"/>
    <w:pPr>
      <w:spacing w:before="100" w:beforeAutospacing="1" w:after="100" w:afterAutospacing="1"/>
    </w:pPr>
  </w:style>
  <w:style w:type="character" w:customStyle="1" w:styleId="teads-ui-components-credits-colored">
    <w:name w:val="teads-ui-components-credits-colored"/>
    <w:basedOn w:val="Fuentedeprrafopredeter"/>
    <w:rsid w:val="00BE1FCF"/>
  </w:style>
  <w:style w:type="paragraph" w:customStyle="1" w:styleId="pau1">
    <w:name w:val="pau1"/>
    <w:basedOn w:val="Normal"/>
    <w:rsid w:val="009519EE"/>
    <w:pPr>
      <w:spacing w:before="100" w:beforeAutospacing="1" w:after="100" w:afterAutospacing="1"/>
      <w:jc w:val="center"/>
    </w:pPr>
    <w:rPr>
      <w:b/>
      <w:bCs/>
      <w:color w:val="00255C"/>
    </w:rPr>
  </w:style>
  <w:style w:type="paragraph" w:customStyle="1" w:styleId="ppr1">
    <w:name w:val="ppr1"/>
    <w:basedOn w:val="Normal"/>
    <w:rsid w:val="009519EE"/>
    <w:pPr>
      <w:spacing w:before="100" w:beforeAutospacing="1" w:after="100" w:afterAutospacing="1"/>
      <w:jc w:val="center"/>
    </w:pPr>
    <w:rPr>
      <w:i/>
      <w:iCs/>
      <w:color w:val="333333"/>
    </w:rPr>
  </w:style>
  <w:style w:type="paragraph" w:customStyle="1" w:styleId="pex1">
    <w:name w:val="pex1"/>
    <w:basedOn w:val="Normal"/>
    <w:rsid w:val="009519EE"/>
    <w:pPr>
      <w:spacing w:before="100" w:beforeAutospacing="1" w:after="100" w:afterAutospacing="1"/>
      <w:jc w:val="center"/>
    </w:pPr>
    <w:rPr>
      <w:color w:val="333333"/>
    </w:rPr>
  </w:style>
  <w:style w:type="paragraph" w:customStyle="1" w:styleId="d11">
    <w:name w:val="d11"/>
    <w:basedOn w:val="Normal"/>
    <w:rsid w:val="009519EE"/>
    <w:pPr>
      <w:spacing w:before="120" w:after="120"/>
      <w:ind w:left="120" w:right="120"/>
      <w:jc w:val="center"/>
    </w:pPr>
    <w:rPr>
      <w:b/>
      <w:bCs/>
      <w:color w:val="00255C"/>
      <w:sz w:val="26"/>
      <w:szCs w:val="26"/>
    </w:rPr>
  </w:style>
  <w:style w:type="paragraph" w:customStyle="1" w:styleId="d21">
    <w:name w:val="d21"/>
    <w:basedOn w:val="Normal"/>
    <w:rsid w:val="009519EE"/>
    <w:pPr>
      <w:spacing w:before="120" w:after="120"/>
      <w:ind w:left="120" w:right="120"/>
      <w:jc w:val="center"/>
    </w:pPr>
    <w:rPr>
      <w:b/>
      <w:bCs/>
      <w:color w:val="00255C"/>
      <w:sz w:val="26"/>
      <w:szCs w:val="26"/>
    </w:rPr>
  </w:style>
  <w:style w:type="character" w:customStyle="1" w:styleId="extracto">
    <w:name w:val="extracto"/>
    <w:basedOn w:val="Fuentedeprrafopredeter"/>
    <w:rsid w:val="00EB03A1"/>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1181188">
      <w:bodyDiv w:val="1"/>
      <w:marLeft w:val="0"/>
      <w:marRight w:val="0"/>
      <w:marTop w:val="0"/>
      <w:marBottom w:val="0"/>
      <w:divBdr>
        <w:top w:val="none" w:sz="0" w:space="0" w:color="auto"/>
        <w:left w:val="none" w:sz="0" w:space="0" w:color="auto"/>
        <w:bottom w:val="none" w:sz="0" w:space="0" w:color="auto"/>
        <w:right w:val="none" w:sz="0" w:space="0" w:color="auto"/>
      </w:divBdr>
      <w:divsChild>
        <w:div w:id="1788311492">
          <w:marLeft w:val="0"/>
          <w:marRight w:val="0"/>
          <w:marTop w:val="0"/>
          <w:marBottom w:val="0"/>
          <w:divBdr>
            <w:top w:val="none" w:sz="0" w:space="0" w:color="auto"/>
            <w:left w:val="none" w:sz="0" w:space="0" w:color="auto"/>
            <w:bottom w:val="none" w:sz="0" w:space="0" w:color="auto"/>
            <w:right w:val="none" w:sz="0" w:space="0" w:color="auto"/>
          </w:divBdr>
          <w:divsChild>
            <w:div w:id="197931184">
              <w:marLeft w:val="0"/>
              <w:marRight w:val="0"/>
              <w:marTop w:val="0"/>
              <w:marBottom w:val="0"/>
              <w:divBdr>
                <w:top w:val="none" w:sz="0" w:space="0" w:color="auto"/>
                <w:left w:val="none" w:sz="0" w:space="0" w:color="auto"/>
                <w:bottom w:val="none" w:sz="0" w:space="0" w:color="auto"/>
                <w:right w:val="none" w:sz="0" w:space="0" w:color="auto"/>
              </w:divBdr>
            </w:div>
            <w:div w:id="1898279696">
              <w:marLeft w:val="0"/>
              <w:marRight w:val="0"/>
              <w:marTop w:val="0"/>
              <w:marBottom w:val="0"/>
              <w:divBdr>
                <w:top w:val="none" w:sz="0" w:space="0" w:color="auto"/>
                <w:left w:val="none" w:sz="0" w:space="0" w:color="auto"/>
                <w:bottom w:val="none" w:sz="0" w:space="0" w:color="auto"/>
                <w:right w:val="none" w:sz="0" w:space="0" w:color="auto"/>
              </w:divBdr>
            </w:div>
            <w:div w:id="1179351435">
              <w:marLeft w:val="0"/>
              <w:marRight w:val="0"/>
              <w:marTop w:val="0"/>
              <w:marBottom w:val="0"/>
              <w:divBdr>
                <w:top w:val="none" w:sz="0" w:space="0" w:color="auto"/>
                <w:left w:val="none" w:sz="0" w:space="0" w:color="auto"/>
                <w:bottom w:val="none" w:sz="0" w:space="0" w:color="auto"/>
                <w:right w:val="none" w:sz="0" w:space="0" w:color="auto"/>
              </w:divBdr>
            </w:div>
          </w:divsChild>
        </w:div>
        <w:div w:id="185754976">
          <w:marLeft w:val="0"/>
          <w:marRight w:val="0"/>
          <w:marTop w:val="0"/>
          <w:marBottom w:val="0"/>
          <w:divBdr>
            <w:top w:val="none" w:sz="0" w:space="0" w:color="auto"/>
            <w:left w:val="none" w:sz="0" w:space="0" w:color="auto"/>
            <w:bottom w:val="none" w:sz="0" w:space="0" w:color="auto"/>
            <w:right w:val="none" w:sz="0" w:space="0" w:color="auto"/>
          </w:divBdr>
          <w:divsChild>
            <w:div w:id="906650679">
              <w:marLeft w:val="0"/>
              <w:marRight w:val="0"/>
              <w:marTop w:val="0"/>
              <w:marBottom w:val="0"/>
              <w:divBdr>
                <w:top w:val="none" w:sz="0" w:space="0" w:color="auto"/>
                <w:left w:val="none" w:sz="0" w:space="0" w:color="auto"/>
                <w:bottom w:val="none" w:sz="0" w:space="0" w:color="auto"/>
                <w:right w:val="none" w:sz="0" w:space="0" w:color="auto"/>
              </w:divBdr>
            </w:div>
            <w:div w:id="661541143">
              <w:marLeft w:val="0"/>
              <w:marRight w:val="0"/>
              <w:marTop w:val="0"/>
              <w:marBottom w:val="0"/>
              <w:divBdr>
                <w:top w:val="none" w:sz="0" w:space="0" w:color="auto"/>
                <w:left w:val="none" w:sz="0" w:space="0" w:color="auto"/>
                <w:bottom w:val="none" w:sz="0" w:space="0" w:color="auto"/>
                <w:right w:val="none" w:sz="0" w:space="0" w:color="auto"/>
              </w:divBdr>
              <w:divsChild>
                <w:div w:id="1815367036">
                  <w:marLeft w:val="0"/>
                  <w:marRight w:val="0"/>
                  <w:marTop w:val="0"/>
                  <w:marBottom w:val="0"/>
                  <w:divBdr>
                    <w:top w:val="none" w:sz="0" w:space="0" w:color="auto"/>
                    <w:left w:val="none" w:sz="0" w:space="0" w:color="auto"/>
                    <w:bottom w:val="none" w:sz="0" w:space="0" w:color="auto"/>
                    <w:right w:val="none" w:sz="0" w:space="0" w:color="auto"/>
                  </w:divBdr>
                  <w:divsChild>
                    <w:div w:id="1997032506">
                      <w:marLeft w:val="0"/>
                      <w:marRight w:val="0"/>
                      <w:marTop w:val="0"/>
                      <w:marBottom w:val="0"/>
                      <w:divBdr>
                        <w:top w:val="none" w:sz="0" w:space="0" w:color="auto"/>
                        <w:left w:val="none" w:sz="0" w:space="0" w:color="auto"/>
                        <w:bottom w:val="none" w:sz="0" w:space="0" w:color="auto"/>
                        <w:right w:val="none" w:sz="0" w:space="0" w:color="auto"/>
                      </w:divBdr>
                      <w:divsChild>
                        <w:div w:id="983852882">
                          <w:marLeft w:val="0"/>
                          <w:marRight w:val="0"/>
                          <w:marTop w:val="0"/>
                          <w:marBottom w:val="0"/>
                          <w:divBdr>
                            <w:top w:val="none" w:sz="0" w:space="0" w:color="auto"/>
                            <w:left w:val="none" w:sz="0" w:space="0" w:color="auto"/>
                            <w:bottom w:val="none" w:sz="0" w:space="0" w:color="auto"/>
                            <w:right w:val="none" w:sz="0" w:space="0" w:color="auto"/>
                          </w:divBdr>
                        </w:div>
                        <w:div w:id="1744454056">
                          <w:marLeft w:val="0"/>
                          <w:marRight w:val="0"/>
                          <w:marTop w:val="0"/>
                          <w:marBottom w:val="0"/>
                          <w:divBdr>
                            <w:top w:val="none" w:sz="0" w:space="0" w:color="auto"/>
                            <w:left w:val="none" w:sz="0" w:space="0" w:color="auto"/>
                            <w:bottom w:val="none" w:sz="0" w:space="0" w:color="auto"/>
                            <w:right w:val="none" w:sz="0" w:space="0" w:color="auto"/>
                          </w:divBdr>
                        </w:div>
                      </w:divsChild>
                    </w:div>
                    <w:div w:id="1173574041">
                      <w:marLeft w:val="0"/>
                      <w:marRight w:val="0"/>
                      <w:marTop w:val="0"/>
                      <w:marBottom w:val="0"/>
                      <w:divBdr>
                        <w:top w:val="none" w:sz="0" w:space="0" w:color="auto"/>
                        <w:left w:val="none" w:sz="0" w:space="0" w:color="auto"/>
                        <w:bottom w:val="none" w:sz="0" w:space="0" w:color="auto"/>
                        <w:right w:val="none" w:sz="0" w:space="0" w:color="auto"/>
                      </w:divBdr>
                      <w:divsChild>
                        <w:div w:id="191597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31788">
          <w:marLeft w:val="0"/>
          <w:marRight w:val="0"/>
          <w:marTop w:val="0"/>
          <w:marBottom w:val="0"/>
          <w:divBdr>
            <w:top w:val="none" w:sz="0" w:space="0" w:color="auto"/>
            <w:left w:val="none" w:sz="0" w:space="0" w:color="auto"/>
            <w:bottom w:val="none" w:sz="0" w:space="0" w:color="auto"/>
            <w:right w:val="none" w:sz="0" w:space="0" w:color="auto"/>
          </w:divBdr>
        </w:div>
        <w:div w:id="923875033">
          <w:marLeft w:val="0"/>
          <w:marRight w:val="0"/>
          <w:marTop w:val="0"/>
          <w:marBottom w:val="0"/>
          <w:divBdr>
            <w:top w:val="none" w:sz="0" w:space="0" w:color="auto"/>
            <w:left w:val="none" w:sz="0" w:space="0" w:color="auto"/>
            <w:bottom w:val="none" w:sz="0" w:space="0" w:color="auto"/>
            <w:right w:val="none" w:sz="0" w:space="0" w:color="auto"/>
          </w:divBdr>
        </w:div>
        <w:div w:id="1092317555">
          <w:marLeft w:val="0"/>
          <w:marRight w:val="0"/>
          <w:marTop w:val="0"/>
          <w:marBottom w:val="0"/>
          <w:divBdr>
            <w:top w:val="none" w:sz="0" w:space="0" w:color="auto"/>
            <w:left w:val="none" w:sz="0" w:space="0" w:color="auto"/>
            <w:bottom w:val="none" w:sz="0" w:space="0" w:color="auto"/>
            <w:right w:val="none" w:sz="0" w:space="0" w:color="auto"/>
          </w:divBdr>
        </w:div>
        <w:div w:id="177544167">
          <w:marLeft w:val="0"/>
          <w:marRight w:val="0"/>
          <w:marTop w:val="0"/>
          <w:marBottom w:val="0"/>
          <w:divBdr>
            <w:top w:val="none" w:sz="0" w:space="0" w:color="auto"/>
            <w:left w:val="none" w:sz="0" w:space="0" w:color="auto"/>
            <w:bottom w:val="none" w:sz="0" w:space="0" w:color="auto"/>
            <w:right w:val="none" w:sz="0" w:space="0" w:color="auto"/>
          </w:divBdr>
          <w:divsChild>
            <w:div w:id="1990479074">
              <w:marLeft w:val="0"/>
              <w:marRight w:val="0"/>
              <w:marTop w:val="0"/>
              <w:marBottom w:val="0"/>
              <w:divBdr>
                <w:top w:val="none" w:sz="0" w:space="0" w:color="auto"/>
                <w:left w:val="none" w:sz="0" w:space="0" w:color="auto"/>
                <w:bottom w:val="none" w:sz="0" w:space="0" w:color="auto"/>
                <w:right w:val="none" w:sz="0" w:space="0" w:color="auto"/>
              </w:divBdr>
            </w:div>
            <w:div w:id="153534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697389094">
      <w:bodyDiv w:val="1"/>
      <w:marLeft w:val="0"/>
      <w:marRight w:val="0"/>
      <w:marTop w:val="0"/>
      <w:marBottom w:val="0"/>
      <w:divBdr>
        <w:top w:val="none" w:sz="0" w:space="0" w:color="auto"/>
        <w:left w:val="none" w:sz="0" w:space="0" w:color="auto"/>
        <w:bottom w:val="none" w:sz="0" w:space="0" w:color="auto"/>
        <w:right w:val="none" w:sz="0" w:space="0" w:color="auto"/>
      </w:divBdr>
      <w:divsChild>
        <w:div w:id="699166859">
          <w:marLeft w:val="0"/>
          <w:marRight w:val="0"/>
          <w:marTop w:val="0"/>
          <w:marBottom w:val="0"/>
          <w:divBdr>
            <w:top w:val="none" w:sz="0" w:space="0" w:color="auto"/>
            <w:left w:val="none" w:sz="0" w:space="0" w:color="auto"/>
            <w:bottom w:val="none" w:sz="0" w:space="0" w:color="auto"/>
            <w:right w:val="none" w:sz="0" w:space="0" w:color="auto"/>
          </w:divBdr>
          <w:divsChild>
            <w:div w:id="362832133">
              <w:marLeft w:val="0"/>
              <w:marRight w:val="0"/>
              <w:marTop w:val="0"/>
              <w:marBottom w:val="0"/>
              <w:divBdr>
                <w:top w:val="none" w:sz="0" w:space="0" w:color="auto"/>
                <w:left w:val="none" w:sz="0" w:space="0" w:color="auto"/>
                <w:bottom w:val="none" w:sz="0" w:space="0" w:color="auto"/>
                <w:right w:val="none" w:sz="0" w:space="0" w:color="auto"/>
              </w:divBdr>
              <w:divsChild>
                <w:div w:id="561479025">
                  <w:marLeft w:val="0"/>
                  <w:marRight w:val="0"/>
                  <w:marTop w:val="0"/>
                  <w:marBottom w:val="0"/>
                  <w:divBdr>
                    <w:top w:val="none" w:sz="0" w:space="0" w:color="auto"/>
                    <w:left w:val="none" w:sz="0" w:space="0" w:color="auto"/>
                    <w:bottom w:val="none" w:sz="0" w:space="0" w:color="auto"/>
                    <w:right w:val="none" w:sz="0" w:space="0" w:color="auto"/>
                  </w:divBdr>
                  <w:divsChild>
                    <w:div w:id="1775856538">
                      <w:marLeft w:val="0"/>
                      <w:marRight w:val="0"/>
                      <w:marTop w:val="0"/>
                      <w:marBottom w:val="0"/>
                      <w:divBdr>
                        <w:top w:val="none" w:sz="0" w:space="0" w:color="auto"/>
                        <w:left w:val="none" w:sz="0" w:space="0" w:color="auto"/>
                        <w:bottom w:val="none" w:sz="0" w:space="0" w:color="auto"/>
                        <w:right w:val="none" w:sz="0" w:space="0" w:color="auto"/>
                      </w:divBdr>
                      <w:divsChild>
                        <w:div w:id="884293889">
                          <w:marLeft w:val="0"/>
                          <w:marRight w:val="0"/>
                          <w:marTop w:val="0"/>
                          <w:marBottom w:val="0"/>
                          <w:divBdr>
                            <w:top w:val="none" w:sz="0" w:space="0" w:color="auto"/>
                            <w:left w:val="none" w:sz="0" w:space="0" w:color="auto"/>
                            <w:bottom w:val="none" w:sz="0" w:space="0" w:color="auto"/>
                            <w:right w:val="none" w:sz="0" w:space="0" w:color="auto"/>
                          </w:divBdr>
                          <w:divsChild>
                            <w:div w:id="23502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8198">
      <w:bodyDiv w:val="1"/>
      <w:marLeft w:val="0"/>
      <w:marRight w:val="0"/>
      <w:marTop w:val="0"/>
      <w:marBottom w:val="0"/>
      <w:divBdr>
        <w:top w:val="none" w:sz="0" w:space="0" w:color="auto"/>
        <w:left w:val="none" w:sz="0" w:space="0" w:color="auto"/>
        <w:bottom w:val="none" w:sz="0" w:space="0" w:color="auto"/>
        <w:right w:val="none" w:sz="0" w:space="0" w:color="auto"/>
      </w:divBdr>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9505596">
      <w:bodyDiv w:val="1"/>
      <w:marLeft w:val="0"/>
      <w:marRight w:val="0"/>
      <w:marTop w:val="0"/>
      <w:marBottom w:val="0"/>
      <w:divBdr>
        <w:top w:val="none" w:sz="0" w:space="0" w:color="auto"/>
        <w:left w:val="none" w:sz="0" w:space="0" w:color="auto"/>
        <w:bottom w:val="none" w:sz="0" w:space="0" w:color="auto"/>
        <w:right w:val="none" w:sz="0" w:space="0" w:color="auto"/>
      </w:divBdr>
      <w:divsChild>
        <w:div w:id="1090737013">
          <w:marLeft w:val="0"/>
          <w:marRight w:val="0"/>
          <w:marTop w:val="0"/>
          <w:marBottom w:val="0"/>
          <w:divBdr>
            <w:top w:val="none" w:sz="0" w:space="0" w:color="auto"/>
            <w:left w:val="none" w:sz="0" w:space="0" w:color="auto"/>
            <w:bottom w:val="none" w:sz="0" w:space="0" w:color="auto"/>
            <w:right w:val="none" w:sz="0" w:space="0" w:color="auto"/>
          </w:divBdr>
          <w:divsChild>
            <w:div w:id="1626934625">
              <w:marLeft w:val="0"/>
              <w:marRight w:val="0"/>
              <w:marTop w:val="0"/>
              <w:marBottom w:val="0"/>
              <w:divBdr>
                <w:top w:val="none" w:sz="0" w:space="0" w:color="auto"/>
                <w:left w:val="none" w:sz="0" w:space="0" w:color="auto"/>
                <w:bottom w:val="none" w:sz="0" w:space="0" w:color="auto"/>
                <w:right w:val="none" w:sz="0" w:space="0" w:color="auto"/>
              </w:divBdr>
              <w:divsChild>
                <w:div w:id="167059187">
                  <w:marLeft w:val="0"/>
                  <w:marRight w:val="0"/>
                  <w:marTop w:val="0"/>
                  <w:marBottom w:val="0"/>
                  <w:divBdr>
                    <w:top w:val="none" w:sz="0" w:space="0" w:color="auto"/>
                    <w:left w:val="none" w:sz="0" w:space="0" w:color="auto"/>
                    <w:bottom w:val="none" w:sz="0" w:space="0" w:color="auto"/>
                    <w:right w:val="none" w:sz="0" w:space="0" w:color="auto"/>
                  </w:divBdr>
                  <w:divsChild>
                    <w:div w:id="1903245897">
                      <w:marLeft w:val="0"/>
                      <w:marRight w:val="0"/>
                      <w:marTop w:val="0"/>
                      <w:marBottom w:val="0"/>
                      <w:divBdr>
                        <w:top w:val="none" w:sz="0" w:space="0" w:color="auto"/>
                        <w:left w:val="none" w:sz="0" w:space="0" w:color="auto"/>
                        <w:bottom w:val="none" w:sz="0" w:space="0" w:color="auto"/>
                        <w:right w:val="none" w:sz="0" w:space="0" w:color="auto"/>
                      </w:divBdr>
                      <w:divsChild>
                        <w:div w:id="811287806">
                          <w:marLeft w:val="0"/>
                          <w:marRight w:val="0"/>
                          <w:marTop w:val="0"/>
                          <w:marBottom w:val="0"/>
                          <w:divBdr>
                            <w:top w:val="none" w:sz="0" w:space="0" w:color="auto"/>
                            <w:left w:val="none" w:sz="0" w:space="0" w:color="auto"/>
                            <w:bottom w:val="none" w:sz="0" w:space="0" w:color="auto"/>
                            <w:right w:val="none" w:sz="0" w:space="0" w:color="auto"/>
                          </w:divBdr>
                          <w:divsChild>
                            <w:div w:id="9826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1712427">
      <w:bodyDiv w:val="1"/>
      <w:marLeft w:val="0"/>
      <w:marRight w:val="0"/>
      <w:marTop w:val="0"/>
      <w:marBottom w:val="0"/>
      <w:divBdr>
        <w:top w:val="none" w:sz="0" w:space="0" w:color="auto"/>
        <w:left w:val="none" w:sz="0" w:space="0" w:color="auto"/>
        <w:bottom w:val="none" w:sz="0" w:space="0" w:color="auto"/>
        <w:right w:val="none" w:sz="0" w:space="0" w:color="auto"/>
      </w:divBdr>
      <w:divsChild>
        <w:div w:id="1248156096">
          <w:marLeft w:val="0"/>
          <w:marRight w:val="0"/>
          <w:marTop w:val="0"/>
          <w:marBottom w:val="0"/>
          <w:divBdr>
            <w:top w:val="none" w:sz="0" w:space="0" w:color="auto"/>
            <w:left w:val="none" w:sz="0" w:space="0" w:color="auto"/>
            <w:bottom w:val="none" w:sz="0" w:space="0" w:color="auto"/>
            <w:right w:val="none" w:sz="0" w:space="0" w:color="auto"/>
          </w:divBdr>
          <w:divsChild>
            <w:div w:id="1700545780">
              <w:marLeft w:val="0"/>
              <w:marRight w:val="0"/>
              <w:marTop w:val="0"/>
              <w:marBottom w:val="0"/>
              <w:divBdr>
                <w:top w:val="none" w:sz="0" w:space="0" w:color="auto"/>
                <w:left w:val="none" w:sz="0" w:space="0" w:color="auto"/>
                <w:bottom w:val="none" w:sz="0" w:space="0" w:color="auto"/>
                <w:right w:val="none" w:sz="0" w:space="0" w:color="auto"/>
              </w:divBdr>
            </w:div>
            <w:div w:id="1729063245">
              <w:marLeft w:val="0"/>
              <w:marRight w:val="0"/>
              <w:marTop w:val="0"/>
              <w:marBottom w:val="0"/>
              <w:divBdr>
                <w:top w:val="none" w:sz="0" w:space="0" w:color="auto"/>
                <w:left w:val="none" w:sz="0" w:space="0" w:color="auto"/>
                <w:bottom w:val="none" w:sz="0" w:space="0" w:color="auto"/>
                <w:right w:val="none" w:sz="0" w:space="0" w:color="auto"/>
              </w:divBdr>
            </w:div>
            <w:div w:id="1257977088">
              <w:marLeft w:val="0"/>
              <w:marRight w:val="0"/>
              <w:marTop w:val="0"/>
              <w:marBottom w:val="0"/>
              <w:divBdr>
                <w:top w:val="none" w:sz="0" w:space="0" w:color="auto"/>
                <w:left w:val="none" w:sz="0" w:space="0" w:color="auto"/>
                <w:bottom w:val="none" w:sz="0" w:space="0" w:color="auto"/>
                <w:right w:val="none" w:sz="0" w:space="0" w:color="auto"/>
              </w:divBdr>
            </w:div>
          </w:divsChild>
        </w:div>
        <w:div w:id="1188300201">
          <w:marLeft w:val="0"/>
          <w:marRight w:val="0"/>
          <w:marTop w:val="0"/>
          <w:marBottom w:val="0"/>
          <w:divBdr>
            <w:top w:val="none" w:sz="0" w:space="0" w:color="auto"/>
            <w:left w:val="none" w:sz="0" w:space="0" w:color="auto"/>
            <w:bottom w:val="none" w:sz="0" w:space="0" w:color="auto"/>
            <w:right w:val="none" w:sz="0" w:space="0" w:color="auto"/>
          </w:divBdr>
          <w:divsChild>
            <w:div w:id="1064714489">
              <w:marLeft w:val="0"/>
              <w:marRight w:val="0"/>
              <w:marTop w:val="0"/>
              <w:marBottom w:val="0"/>
              <w:divBdr>
                <w:top w:val="none" w:sz="0" w:space="0" w:color="auto"/>
                <w:left w:val="none" w:sz="0" w:space="0" w:color="auto"/>
                <w:bottom w:val="none" w:sz="0" w:space="0" w:color="auto"/>
                <w:right w:val="none" w:sz="0" w:space="0" w:color="auto"/>
              </w:divBdr>
            </w:div>
            <w:div w:id="1010523014">
              <w:marLeft w:val="0"/>
              <w:marRight w:val="0"/>
              <w:marTop w:val="0"/>
              <w:marBottom w:val="0"/>
              <w:divBdr>
                <w:top w:val="none" w:sz="0" w:space="0" w:color="auto"/>
                <w:left w:val="none" w:sz="0" w:space="0" w:color="auto"/>
                <w:bottom w:val="none" w:sz="0" w:space="0" w:color="auto"/>
                <w:right w:val="none" w:sz="0" w:space="0" w:color="auto"/>
              </w:divBdr>
              <w:divsChild>
                <w:div w:id="760444918">
                  <w:marLeft w:val="0"/>
                  <w:marRight w:val="0"/>
                  <w:marTop w:val="0"/>
                  <w:marBottom w:val="0"/>
                  <w:divBdr>
                    <w:top w:val="none" w:sz="0" w:space="0" w:color="auto"/>
                    <w:left w:val="none" w:sz="0" w:space="0" w:color="auto"/>
                    <w:bottom w:val="none" w:sz="0" w:space="0" w:color="auto"/>
                    <w:right w:val="none" w:sz="0" w:space="0" w:color="auto"/>
                  </w:divBdr>
                  <w:divsChild>
                    <w:div w:id="335957398">
                      <w:marLeft w:val="0"/>
                      <w:marRight w:val="0"/>
                      <w:marTop w:val="0"/>
                      <w:marBottom w:val="0"/>
                      <w:divBdr>
                        <w:top w:val="none" w:sz="0" w:space="0" w:color="auto"/>
                        <w:left w:val="none" w:sz="0" w:space="0" w:color="auto"/>
                        <w:bottom w:val="none" w:sz="0" w:space="0" w:color="auto"/>
                        <w:right w:val="none" w:sz="0" w:space="0" w:color="auto"/>
                      </w:divBdr>
                      <w:divsChild>
                        <w:div w:id="616760798">
                          <w:marLeft w:val="0"/>
                          <w:marRight w:val="0"/>
                          <w:marTop w:val="0"/>
                          <w:marBottom w:val="0"/>
                          <w:divBdr>
                            <w:top w:val="none" w:sz="0" w:space="0" w:color="auto"/>
                            <w:left w:val="none" w:sz="0" w:space="0" w:color="auto"/>
                            <w:bottom w:val="none" w:sz="0" w:space="0" w:color="auto"/>
                            <w:right w:val="none" w:sz="0" w:space="0" w:color="auto"/>
                          </w:divBdr>
                        </w:div>
                        <w:div w:id="371805453">
                          <w:marLeft w:val="0"/>
                          <w:marRight w:val="0"/>
                          <w:marTop w:val="0"/>
                          <w:marBottom w:val="0"/>
                          <w:divBdr>
                            <w:top w:val="none" w:sz="0" w:space="0" w:color="auto"/>
                            <w:left w:val="none" w:sz="0" w:space="0" w:color="auto"/>
                            <w:bottom w:val="none" w:sz="0" w:space="0" w:color="auto"/>
                            <w:right w:val="none" w:sz="0" w:space="0" w:color="auto"/>
                          </w:divBdr>
                        </w:div>
                      </w:divsChild>
                    </w:div>
                    <w:div w:id="1043288378">
                      <w:marLeft w:val="0"/>
                      <w:marRight w:val="0"/>
                      <w:marTop w:val="0"/>
                      <w:marBottom w:val="0"/>
                      <w:divBdr>
                        <w:top w:val="none" w:sz="0" w:space="0" w:color="auto"/>
                        <w:left w:val="none" w:sz="0" w:space="0" w:color="auto"/>
                        <w:bottom w:val="none" w:sz="0" w:space="0" w:color="auto"/>
                        <w:right w:val="none" w:sz="0" w:space="0" w:color="auto"/>
                      </w:divBdr>
                      <w:divsChild>
                        <w:div w:id="50836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747414">
          <w:marLeft w:val="0"/>
          <w:marRight w:val="0"/>
          <w:marTop w:val="0"/>
          <w:marBottom w:val="0"/>
          <w:divBdr>
            <w:top w:val="none" w:sz="0" w:space="0" w:color="auto"/>
            <w:left w:val="none" w:sz="0" w:space="0" w:color="auto"/>
            <w:bottom w:val="none" w:sz="0" w:space="0" w:color="auto"/>
            <w:right w:val="none" w:sz="0" w:space="0" w:color="auto"/>
          </w:divBdr>
        </w:div>
        <w:div w:id="1044258970">
          <w:marLeft w:val="0"/>
          <w:marRight w:val="0"/>
          <w:marTop w:val="0"/>
          <w:marBottom w:val="0"/>
          <w:divBdr>
            <w:top w:val="none" w:sz="0" w:space="0" w:color="auto"/>
            <w:left w:val="none" w:sz="0" w:space="0" w:color="auto"/>
            <w:bottom w:val="none" w:sz="0" w:space="0" w:color="auto"/>
            <w:right w:val="none" w:sz="0" w:space="0" w:color="auto"/>
          </w:divBdr>
        </w:div>
        <w:div w:id="1013528775">
          <w:marLeft w:val="0"/>
          <w:marRight w:val="0"/>
          <w:marTop w:val="0"/>
          <w:marBottom w:val="0"/>
          <w:divBdr>
            <w:top w:val="none" w:sz="0" w:space="0" w:color="auto"/>
            <w:left w:val="none" w:sz="0" w:space="0" w:color="auto"/>
            <w:bottom w:val="none" w:sz="0" w:space="0" w:color="auto"/>
            <w:right w:val="none" w:sz="0" w:space="0" w:color="auto"/>
          </w:divBdr>
        </w:div>
        <w:div w:id="758793226">
          <w:marLeft w:val="0"/>
          <w:marRight w:val="0"/>
          <w:marTop w:val="0"/>
          <w:marBottom w:val="0"/>
          <w:divBdr>
            <w:top w:val="none" w:sz="0" w:space="0" w:color="auto"/>
            <w:left w:val="none" w:sz="0" w:space="0" w:color="auto"/>
            <w:bottom w:val="none" w:sz="0" w:space="0" w:color="auto"/>
            <w:right w:val="none" w:sz="0" w:space="0" w:color="auto"/>
          </w:divBdr>
          <w:divsChild>
            <w:div w:id="1197230165">
              <w:marLeft w:val="0"/>
              <w:marRight w:val="0"/>
              <w:marTop w:val="0"/>
              <w:marBottom w:val="0"/>
              <w:divBdr>
                <w:top w:val="none" w:sz="0" w:space="0" w:color="auto"/>
                <w:left w:val="none" w:sz="0" w:space="0" w:color="auto"/>
                <w:bottom w:val="none" w:sz="0" w:space="0" w:color="auto"/>
                <w:right w:val="none" w:sz="0" w:space="0" w:color="auto"/>
              </w:divBdr>
            </w:div>
            <w:div w:id="90433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931757">
      <w:bodyDiv w:val="1"/>
      <w:marLeft w:val="0"/>
      <w:marRight w:val="0"/>
      <w:marTop w:val="0"/>
      <w:marBottom w:val="0"/>
      <w:divBdr>
        <w:top w:val="none" w:sz="0" w:space="0" w:color="auto"/>
        <w:left w:val="none" w:sz="0" w:space="0" w:color="auto"/>
        <w:bottom w:val="none" w:sz="0" w:space="0" w:color="auto"/>
        <w:right w:val="none" w:sz="0" w:space="0" w:color="auto"/>
      </w:divBdr>
      <w:divsChild>
        <w:div w:id="478571059">
          <w:marLeft w:val="0"/>
          <w:marRight w:val="0"/>
          <w:marTop w:val="0"/>
          <w:marBottom w:val="0"/>
          <w:divBdr>
            <w:top w:val="none" w:sz="0" w:space="0" w:color="auto"/>
            <w:left w:val="none" w:sz="0" w:space="0" w:color="auto"/>
            <w:bottom w:val="none" w:sz="0" w:space="0" w:color="auto"/>
            <w:right w:val="none" w:sz="0" w:space="0" w:color="auto"/>
          </w:divBdr>
          <w:divsChild>
            <w:div w:id="1943416382">
              <w:marLeft w:val="0"/>
              <w:marRight w:val="0"/>
              <w:marTop w:val="0"/>
              <w:marBottom w:val="0"/>
              <w:divBdr>
                <w:top w:val="none" w:sz="0" w:space="0" w:color="auto"/>
                <w:left w:val="none" w:sz="0" w:space="0" w:color="auto"/>
                <w:bottom w:val="none" w:sz="0" w:space="0" w:color="auto"/>
                <w:right w:val="none" w:sz="0" w:space="0" w:color="auto"/>
              </w:divBdr>
              <w:divsChild>
                <w:div w:id="936328152">
                  <w:marLeft w:val="0"/>
                  <w:marRight w:val="0"/>
                  <w:marTop w:val="0"/>
                  <w:marBottom w:val="0"/>
                  <w:divBdr>
                    <w:top w:val="none" w:sz="0" w:space="0" w:color="auto"/>
                    <w:left w:val="none" w:sz="0" w:space="0" w:color="auto"/>
                    <w:bottom w:val="none" w:sz="0" w:space="0" w:color="auto"/>
                    <w:right w:val="none" w:sz="0" w:space="0" w:color="auto"/>
                  </w:divBdr>
                  <w:divsChild>
                    <w:div w:id="184246967">
                      <w:marLeft w:val="0"/>
                      <w:marRight w:val="0"/>
                      <w:marTop w:val="0"/>
                      <w:marBottom w:val="0"/>
                      <w:divBdr>
                        <w:top w:val="none" w:sz="0" w:space="0" w:color="auto"/>
                        <w:left w:val="none" w:sz="0" w:space="0" w:color="auto"/>
                        <w:bottom w:val="none" w:sz="0" w:space="0" w:color="auto"/>
                        <w:right w:val="none" w:sz="0" w:space="0" w:color="auto"/>
                      </w:divBdr>
                      <w:divsChild>
                        <w:div w:id="1648166322">
                          <w:marLeft w:val="0"/>
                          <w:marRight w:val="0"/>
                          <w:marTop w:val="0"/>
                          <w:marBottom w:val="0"/>
                          <w:divBdr>
                            <w:top w:val="none" w:sz="0" w:space="0" w:color="auto"/>
                            <w:left w:val="none" w:sz="0" w:space="0" w:color="auto"/>
                            <w:bottom w:val="none" w:sz="0" w:space="0" w:color="auto"/>
                            <w:right w:val="none" w:sz="0" w:space="0" w:color="auto"/>
                          </w:divBdr>
                          <w:divsChild>
                            <w:div w:id="3373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6728894">
      <w:bodyDiv w:val="1"/>
      <w:marLeft w:val="0"/>
      <w:marRight w:val="0"/>
      <w:marTop w:val="0"/>
      <w:marBottom w:val="0"/>
      <w:divBdr>
        <w:top w:val="none" w:sz="0" w:space="0" w:color="auto"/>
        <w:left w:val="none" w:sz="0" w:space="0" w:color="auto"/>
        <w:bottom w:val="none" w:sz="0" w:space="0" w:color="auto"/>
        <w:right w:val="none" w:sz="0" w:space="0" w:color="auto"/>
      </w:divBdr>
      <w:divsChild>
        <w:div w:id="1046952880">
          <w:marLeft w:val="0"/>
          <w:marRight w:val="0"/>
          <w:marTop w:val="0"/>
          <w:marBottom w:val="0"/>
          <w:divBdr>
            <w:top w:val="none" w:sz="0" w:space="0" w:color="auto"/>
            <w:left w:val="none" w:sz="0" w:space="0" w:color="auto"/>
            <w:bottom w:val="none" w:sz="0" w:space="0" w:color="auto"/>
            <w:right w:val="none" w:sz="0" w:space="0" w:color="auto"/>
          </w:divBdr>
          <w:divsChild>
            <w:div w:id="1697802776">
              <w:marLeft w:val="0"/>
              <w:marRight w:val="0"/>
              <w:marTop w:val="0"/>
              <w:marBottom w:val="0"/>
              <w:divBdr>
                <w:top w:val="none" w:sz="0" w:space="0" w:color="auto"/>
                <w:left w:val="none" w:sz="0" w:space="0" w:color="auto"/>
                <w:bottom w:val="none" w:sz="0" w:space="0" w:color="auto"/>
                <w:right w:val="none" w:sz="0" w:space="0" w:color="auto"/>
              </w:divBdr>
              <w:divsChild>
                <w:div w:id="278293958">
                  <w:marLeft w:val="0"/>
                  <w:marRight w:val="0"/>
                  <w:marTop w:val="0"/>
                  <w:marBottom w:val="0"/>
                  <w:divBdr>
                    <w:top w:val="none" w:sz="0" w:space="0" w:color="auto"/>
                    <w:left w:val="none" w:sz="0" w:space="0" w:color="auto"/>
                    <w:bottom w:val="none" w:sz="0" w:space="0" w:color="auto"/>
                    <w:right w:val="none" w:sz="0" w:space="0" w:color="auto"/>
                  </w:divBdr>
                  <w:divsChild>
                    <w:div w:id="820730016">
                      <w:marLeft w:val="0"/>
                      <w:marRight w:val="0"/>
                      <w:marTop w:val="0"/>
                      <w:marBottom w:val="0"/>
                      <w:divBdr>
                        <w:top w:val="none" w:sz="0" w:space="0" w:color="auto"/>
                        <w:left w:val="none" w:sz="0" w:space="0" w:color="auto"/>
                        <w:bottom w:val="none" w:sz="0" w:space="0" w:color="auto"/>
                        <w:right w:val="none" w:sz="0" w:space="0" w:color="auto"/>
                      </w:divBdr>
                      <w:divsChild>
                        <w:div w:id="560599596">
                          <w:marLeft w:val="0"/>
                          <w:marRight w:val="0"/>
                          <w:marTop w:val="0"/>
                          <w:marBottom w:val="0"/>
                          <w:divBdr>
                            <w:top w:val="none" w:sz="0" w:space="0" w:color="auto"/>
                            <w:left w:val="none" w:sz="0" w:space="0" w:color="auto"/>
                            <w:bottom w:val="none" w:sz="0" w:space="0" w:color="auto"/>
                            <w:right w:val="none" w:sz="0" w:space="0" w:color="auto"/>
                          </w:divBdr>
                          <w:divsChild>
                            <w:div w:id="2209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 w:id="2083985456">
      <w:bodyDiv w:val="1"/>
      <w:marLeft w:val="0"/>
      <w:marRight w:val="0"/>
      <w:marTop w:val="0"/>
      <w:marBottom w:val="0"/>
      <w:divBdr>
        <w:top w:val="none" w:sz="0" w:space="0" w:color="auto"/>
        <w:left w:val="none" w:sz="0" w:space="0" w:color="auto"/>
        <w:bottom w:val="none" w:sz="0" w:space="0" w:color="auto"/>
        <w:right w:val="none" w:sz="0" w:space="0" w:color="auto"/>
      </w:divBdr>
      <w:divsChild>
        <w:div w:id="1858154059">
          <w:marLeft w:val="0"/>
          <w:marRight w:val="0"/>
          <w:marTop w:val="0"/>
          <w:marBottom w:val="0"/>
          <w:divBdr>
            <w:top w:val="none" w:sz="0" w:space="0" w:color="auto"/>
            <w:left w:val="none" w:sz="0" w:space="0" w:color="auto"/>
            <w:bottom w:val="none" w:sz="0" w:space="0" w:color="auto"/>
            <w:right w:val="none" w:sz="0" w:space="0" w:color="auto"/>
          </w:divBdr>
          <w:divsChild>
            <w:div w:id="1727727196">
              <w:marLeft w:val="0"/>
              <w:marRight w:val="0"/>
              <w:marTop w:val="0"/>
              <w:marBottom w:val="0"/>
              <w:divBdr>
                <w:top w:val="none" w:sz="0" w:space="0" w:color="auto"/>
                <w:left w:val="none" w:sz="0" w:space="0" w:color="auto"/>
                <w:bottom w:val="none" w:sz="0" w:space="0" w:color="auto"/>
                <w:right w:val="none" w:sz="0" w:space="0" w:color="auto"/>
              </w:divBdr>
              <w:divsChild>
                <w:div w:id="42295172">
                  <w:marLeft w:val="0"/>
                  <w:marRight w:val="0"/>
                  <w:marTop w:val="0"/>
                  <w:marBottom w:val="0"/>
                  <w:divBdr>
                    <w:top w:val="none" w:sz="0" w:space="0" w:color="auto"/>
                    <w:left w:val="none" w:sz="0" w:space="0" w:color="auto"/>
                    <w:bottom w:val="none" w:sz="0" w:space="0" w:color="auto"/>
                    <w:right w:val="none" w:sz="0" w:space="0" w:color="auto"/>
                  </w:divBdr>
                  <w:divsChild>
                    <w:div w:id="647055855">
                      <w:marLeft w:val="0"/>
                      <w:marRight w:val="0"/>
                      <w:marTop w:val="0"/>
                      <w:marBottom w:val="0"/>
                      <w:divBdr>
                        <w:top w:val="none" w:sz="0" w:space="0" w:color="auto"/>
                        <w:left w:val="none" w:sz="0" w:space="0" w:color="auto"/>
                        <w:bottom w:val="none" w:sz="0" w:space="0" w:color="auto"/>
                        <w:right w:val="none" w:sz="0" w:space="0" w:color="auto"/>
                      </w:divBdr>
                      <w:divsChild>
                        <w:div w:id="216866862">
                          <w:marLeft w:val="0"/>
                          <w:marRight w:val="0"/>
                          <w:marTop w:val="0"/>
                          <w:marBottom w:val="0"/>
                          <w:divBdr>
                            <w:top w:val="none" w:sz="0" w:space="0" w:color="auto"/>
                            <w:left w:val="none" w:sz="0" w:space="0" w:color="auto"/>
                            <w:bottom w:val="none" w:sz="0" w:space="0" w:color="auto"/>
                            <w:right w:val="none" w:sz="0" w:space="0" w:color="auto"/>
                          </w:divBdr>
                          <w:divsChild>
                            <w:div w:id="172649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e.es/buscar/act.php?id=BOE-A-1994-26003&amp;tn=1&amp;vd=&amp;p=20130605" TargetMode="External"/><Relationship Id="rId13" Type="http://schemas.openxmlformats.org/officeDocument/2006/relationships/hyperlink" Target="http://www.mundojuridico.info/arrendamiento-local-de-negocio/" TargetMode="External"/><Relationship Id="rId18" Type="http://schemas.openxmlformats.org/officeDocument/2006/relationships/hyperlink" Target="https://www.boe.es/buscar/act.php?id=BOE-A-1889-4763"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hyperlink" Target="https://www.boe.es/buscar/act.php?id=BOE-A-1994-26003" TargetMode="External"/><Relationship Id="rId17" Type="http://schemas.openxmlformats.org/officeDocument/2006/relationships/hyperlink" Target="https://www.boe.es/buscar/act.php?id=BOE-A-1994-26003" TargetMode="External"/><Relationship Id="rId25"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hyperlink" Target="https://www.boe.es/buscar/act.php?id=BOE-A-1889-4763" TargetMode="External"/><Relationship Id="rId20" Type="http://schemas.openxmlformats.org/officeDocument/2006/relationships/image" Target="media/image2.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undojuridico.info/indemnizacion-resolucion-unilateral-del-arrendamiento-local/" TargetMode="External"/><Relationship Id="rId24" Type="http://schemas.openxmlformats.org/officeDocument/2006/relationships/image" Target="media/image6.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boe.es/buscar/act.php?id=BOE-A-1994-26003" TargetMode="External"/><Relationship Id="rId23" Type="http://schemas.openxmlformats.org/officeDocument/2006/relationships/image" Target="media/image5.jpeg"/><Relationship Id="rId28" Type="http://schemas.openxmlformats.org/officeDocument/2006/relationships/footer" Target="footer1.xml"/><Relationship Id="rId10" Type="http://schemas.openxmlformats.org/officeDocument/2006/relationships/hyperlink" Target="https://www.boe.es/buscar/act.php?id=BOE-A-1889-4763" TargetMode="External"/><Relationship Id="rId19" Type="http://schemas.openxmlformats.org/officeDocument/2006/relationships/image" Target="media/image1.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oe.es/buscar/act.php?id=BOE-A-1889-4763" TargetMode="External"/><Relationship Id="rId14" Type="http://schemas.openxmlformats.org/officeDocument/2006/relationships/hyperlink" Target="http://www.mundojuridico.info/indemnizacion-por-resolucion-anticipada-en-el-arrendamiento-de-local/" TargetMode="External"/><Relationship Id="rId22" Type="http://schemas.openxmlformats.org/officeDocument/2006/relationships/image" Target="media/image4.jpeg"/><Relationship Id="rId27" Type="http://schemas.openxmlformats.org/officeDocument/2006/relationships/header" Target="header2.xml"/><Relationship Id="rId30"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255409-374E-4BD2-BDD5-79B9A2A97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20</Pages>
  <Words>3251</Words>
  <Characters>17884</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21093</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Gonzalo Olmos</dc:creator>
  <cp:lastModifiedBy>ALFREDO GARCÍA LÓPEZ</cp:lastModifiedBy>
  <cp:revision>3</cp:revision>
  <cp:lastPrinted>2016-07-08T07:04:00Z</cp:lastPrinted>
  <dcterms:created xsi:type="dcterms:W3CDTF">2016-11-22T14:50:00Z</dcterms:created>
  <dcterms:modified xsi:type="dcterms:W3CDTF">2016-11-22T15:00:00Z</dcterms:modified>
</cp:coreProperties>
</file>