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F6" w:rsidRPr="002825F6" w:rsidRDefault="002825F6" w:rsidP="002825F6">
      <w:pPr>
        <w:spacing w:before="100" w:beforeAutospacing="1" w:after="100" w:afterAutospacing="1" w:line="360" w:lineRule="auto"/>
        <w:jc w:val="both"/>
        <w:outlineLvl w:val="0"/>
        <w:rPr>
          <w:rFonts w:ascii="Arial" w:hAnsi="Arial" w:cs="Arial"/>
          <w:bCs/>
          <w:kern w:val="36"/>
        </w:rPr>
      </w:pPr>
      <w:r w:rsidRPr="002825F6">
        <w:rPr>
          <w:rFonts w:ascii="Arial" w:hAnsi="Arial" w:cs="Arial"/>
          <w:b/>
          <w:bCs/>
          <w:kern w:val="36"/>
        </w:rPr>
        <w:t>MATRIMONIO. El Tribunal Supremo reconoce las ayudas a padres de vientres de alquiler</w:t>
      </w:r>
      <w:r w:rsidRPr="002825F6">
        <w:rPr>
          <w:rFonts w:ascii="Arial" w:hAnsi="Arial" w:cs="Arial"/>
          <w:bCs/>
          <w:kern w:val="36"/>
        </w:rPr>
        <w:t xml:space="preserve">. </w:t>
      </w:r>
      <w:r w:rsidRPr="002825F6">
        <w:rPr>
          <w:rFonts w:ascii="Arial" w:hAnsi="Arial" w:cs="Arial"/>
        </w:rPr>
        <w:t>El Tribunal Supremo ha reconocido por primera vez el derecho a cobrar prestaciones de maternidad a los que han sido padres a través de vientres de alquiler. El Supremo rechaza una "conducta fraudulenta" en este tipo de paternidad y subraya que "la atención a los menores es el punto de vista predominante cuando se trata de prestaciones de Seguridad Social".</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t xml:space="preserve">La Sala Cuarta del Tribunal Supremo, constituida en Pleno, deliberó ayer sobre dos recursos de casación para unificación de doctrina en los que se planteaba si la maternidad por subrogación o sustitución puede considerarse situación protegida a los fines de la prestación por maternidad, adopción o acogimiento, con la particularidad de que en uno de los casos el solicitante de la prestación era un varón. </w:t>
      </w:r>
    </w:p>
    <w:p w:rsidR="002825F6" w:rsidRPr="002825F6" w:rsidRDefault="002825F6" w:rsidP="002825F6">
      <w:pPr>
        <w:spacing w:before="100" w:beforeAutospacing="1" w:after="100" w:afterAutospacing="1" w:line="360" w:lineRule="auto"/>
        <w:jc w:val="both"/>
        <w:rPr>
          <w:rFonts w:ascii="Arial" w:hAnsi="Arial" w:cs="Arial"/>
          <w:bCs/>
        </w:rPr>
      </w:pPr>
      <w:r w:rsidRPr="002825F6">
        <w:rPr>
          <w:rFonts w:ascii="Arial" w:hAnsi="Arial" w:cs="Arial"/>
        </w:rPr>
        <w:t xml:space="preserve">En este sentido, el Supremo entiende que "las prohibiciones sobre inscripción registral o sobre el propio contrato de maternidad por sustitución quedan al margen del problema y que no se está creando una prestación de Seguridad Social, sino interpretando las </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t>El primer caso de los estudiados por el Supremo se refiere a una trabajadora que tiene un hijo en virtud de un contrato de gestación por sustitución, hijo que consta escrito en el Registro del Consulado de España en Los Ángeles, figurando la actora como madre y su pareja varón como padre.</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t xml:space="preserve">Por otra parte, el segundo asunto recoge el supuesto de un español que concierta una reproducción asistida en la India, utilizándose su material genético. La madre gestante alumbró dos niñas y aceptó que el hombre asuma, en exclusiva, "todas las funciones y obligaciones que se derivan de la patria potestad". Las menores fueron inscritas en el Registro Consular como hijas de los padres biológicos -la madre "de alquiler" y el varón español-, siendo trasladadas a España por su progenitor. </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lastRenderedPageBreak/>
        <w:t>La Seguridad Social española denegó las prestaciones "de maternidad" solicitadas por el padre de las menores puesto que la Ley de Reproducción Asistida proclama la nulidad del contrato de maternidad por sustitución.</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t>Los magistrados de la Sala cuarta destacan, en una nota informativa, que han dado la razón a los solicitantes de tales prestaciones. La Sala ha estimado que "tiene que hacerse una interpretación integradora de las normas aplicadas, contempladas en torno a las sentencias del Tribunal Europeo de Derechos Humanos (</w:t>
      </w:r>
      <w:proofErr w:type="spellStart"/>
      <w:r w:rsidRPr="002825F6">
        <w:rPr>
          <w:rFonts w:ascii="Arial" w:hAnsi="Arial" w:cs="Arial"/>
        </w:rPr>
        <w:t>TEDH</w:t>
      </w:r>
      <w:proofErr w:type="spellEnd"/>
      <w:r w:rsidRPr="002825F6">
        <w:rPr>
          <w:rFonts w:ascii="Arial" w:hAnsi="Arial" w:cs="Arial"/>
        </w:rPr>
        <w:t>) y de diversos preceptos constitucionales, legales y reglamentarios".</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t xml:space="preserve">En el caso del varón, se recuerda que las prestaciones por maternidad también cubren supuestos de adopción o acogimiento, que la madre puede transferir al padre una parte de ellas y que, en ciertos casos, cuando la madre biológica no puede disfrutarlas -muerte, ausencia de protección- se transfieren al padre, como debe hacerse en esta ocasión. </w:t>
      </w:r>
    </w:p>
    <w:p w:rsidR="002825F6" w:rsidRPr="002825F6" w:rsidRDefault="002825F6" w:rsidP="002825F6">
      <w:pPr>
        <w:spacing w:before="100" w:beforeAutospacing="1" w:after="100" w:afterAutospacing="1" w:line="360" w:lineRule="auto"/>
        <w:jc w:val="both"/>
        <w:rPr>
          <w:rFonts w:ascii="Arial" w:hAnsi="Arial" w:cs="Arial"/>
        </w:rPr>
      </w:pPr>
      <w:r w:rsidRPr="002825F6">
        <w:rPr>
          <w:rFonts w:ascii="Arial" w:hAnsi="Arial" w:cs="Arial"/>
        </w:rPr>
        <w:t>El Tribunal Superior de Justicia de Madrid, en sentencia de 13 de marzo del año 2012, ya reconoció las prestaciones en estas condiciones. La sentencia vino a sumarse a los fallos del propio Tribunal Superior de Justicia de Madrid, de 18 de octubre de 2012; de Cataluña, de 23 de noviembre de 2012; y de Asturias, de 20 de septiembre de 2012, que consideran que en estos casos se dan los requisitos legales.</w:t>
      </w:r>
    </w:p>
    <w:p w:rsidR="00DB6265" w:rsidRPr="002825F6" w:rsidRDefault="00DB6265" w:rsidP="002825F6">
      <w:pPr>
        <w:spacing w:before="100" w:beforeAutospacing="1" w:after="100" w:afterAutospacing="1"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80169B" w:rsidRPr="002825F6" w:rsidRDefault="0080169B" w:rsidP="002825F6">
      <w:pPr>
        <w:spacing w:before="100" w:beforeAutospacing="1" w:after="100" w:afterAutospacing="1" w:line="360" w:lineRule="auto"/>
        <w:jc w:val="both"/>
        <w:rPr>
          <w:rFonts w:ascii="Arial" w:hAnsi="Arial" w:cs="Arial"/>
        </w:rPr>
      </w:pPr>
    </w:p>
    <w:p w:rsidR="0080169B" w:rsidRPr="002825F6" w:rsidRDefault="0080169B"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DB6265" w:rsidRPr="002825F6" w:rsidRDefault="00DB6265" w:rsidP="002825F6">
      <w:pPr>
        <w:spacing w:line="360" w:lineRule="auto"/>
        <w:jc w:val="both"/>
        <w:rPr>
          <w:rFonts w:ascii="Arial" w:hAnsi="Arial" w:cs="Arial"/>
        </w:rPr>
      </w:pPr>
    </w:p>
    <w:p w:rsidR="00AA2259" w:rsidRPr="002825F6" w:rsidRDefault="00AA2259"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2825F6" w:rsidRDefault="009009ED"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2825F6" w:rsidRDefault="009009ED"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4B5793"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2825F6" w:rsidRDefault="009009ED"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9009ED" w:rsidRPr="002825F6" w:rsidRDefault="009009ED"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4B5793" w:rsidRPr="002825F6" w:rsidRDefault="004B5793" w:rsidP="002825F6">
      <w:pPr>
        <w:spacing w:line="360" w:lineRule="auto"/>
        <w:jc w:val="both"/>
        <w:rPr>
          <w:rFonts w:ascii="Arial" w:hAnsi="Arial" w:cs="Arial"/>
        </w:rPr>
      </w:pPr>
    </w:p>
    <w:p w:rsidR="00DB1736" w:rsidRPr="002825F6" w:rsidRDefault="009009ED" w:rsidP="002825F6">
      <w:pPr>
        <w:spacing w:line="360" w:lineRule="auto"/>
        <w:jc w:val="both"/>
        <w:rPr>
          <w:rFonts w:ascii="Arial" w:hAnsi="Arial" w:cs="Arial"/>
        </w:rPr>
      </w:pPr>
      <w:r w:rsidRPr="002825F6">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2825F6" w:rsidRDefault="00DB1736" w:rsidP="002825F6">
      <w:pPr>
        <w:spacing w:line="360" w:lineRule="auto"/>
        <w:jc w:val="both"/>
        <w:rPr>
          <w:rFonts w:ascii="Arial" w:hAnsi="Arial" w:cs="Arial"/>
        </w:rPr>
      </w:pPr>
    </w:p>
    <w:p w:rsidR="00DB1736" w:rsidRPr="002825F6" w:rsidRDefault="00DB1736" w:rsidP="002825F6">
      <w:pPr>
        <w:spacing w:line="360" w:lineRule="auto"/>
        <w:jc w:val="both"/>
        <w:rPr>
          <w:rFonts w:ascii="Arial" w:hAnsi="Arial" w:cs="Arial"/>
        </w:rPr>
      </w:pPr>
    </w:p>
    <w:p w:rsidR="00DB1736" w:rsidRPr="002825F6" w:rsidRDefault="00DB1736" w:rsidP="002825F6">
      <w:pPr>
        <w:spacing w:line="360" w:lineRule="auto"/>
        <w:jc w:val="both"/>
        <w:rPr>
          <w:rFonts w:ascii="Arial" w:hAnsi="Arial" w:cs="Arial"/>
        </w:rPr>
      </w:pPr>
    </w:p>
    <w:p w:rsidR="00DB1736" w:rsidRPr="002825F6" w:rsidRDefault="00DB1736" w:rsidP="002825F6">
      <w:pPr>
        <w:spacing w:line="360" w:lineRule="auto"/>
        <w:jc w:val="both"/>
        <w:rPr>
          <w:rFonts w:ascii="Arial" w:hAnsi="Arial" w:cs="Arial"/>
        </w:rPr>
      </w:pPr>
    </w:p>
    <w:p w:rsidR="00DB1736" w:rsidRPr="002825F6" w:rsidRDefault="00DB1736" w:rsidP="002825F6">
      <w:pPr>
        <w:spacing w:line="360" w:lineRule="auto"/>
        <w:jc w:val="both"/>
        <w:rPr>
          <w:rFonts w:ascii="Arial" w:hAnsi="Arial" w:cs="Arial"/>
        </w:rPr>
      </w:pPr>
    </w:p>
    <w:p w:rsidR="002821BC" w:rsidRPr="002825F6" w:rsidRDefault="002821BC" w:rsidP="002825F6">
      <w:pPr>
        <w:spacing w:line="360" w:lineRule="auto"/>
        <w:jc w:val="both"/>
        <w:rPr>
          <w:rFonts w:ascii="Arial" w:hAnsi="Arial" w:cs="Arial"/>
        </w:rPr>
      </w:pPr>
    </w:p>
    <w:p w:rsidR="00D02291" w:rsidRPr="002825F6" w:rsidRDefault="00D02291" w:rsidP="002825F6">
      <w:pPr>
        <w:spacing w:line="360" w:lineRule="auto"/>
        <w:jc w:val="both"/>
        <w:rPr>
          <w:rFonts w:ascii="Arial" w:hAnsi="Arial" w:cs="Arial"/>
        </w:rPr>
      </w:pPr>
    </w:p>
    <w:p w:rsidR="009519EE" w:rsidRPr="002825F6" w:rsidRDefault="009519EE" w:rsidP="002825F6">
      <w:pPr>
        <w:spacing w:line="360" w:lineRule="auto"/>
        <w:jc w:val="both"/>
        <w:rPr>
          <w:rFonts w:ascii="Arial" w:hAnsi="Arial" w:cs="Arial"/>
        </w:rPr>
      </w:pPr>
    </w:p>
    <w:sectPr w:rsidR="009519EE" w:rsidRPr="002825F6"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F9C" w:rsidRDefault="00957F9C">
      <w:r>
        <w:separator/>
      </w:r>
    </w:p>
  </w:endnote>
  <w:endnote w:type="continuationSeparator" w:id="0">
    <w:p w:rsidR="00957F9C" w:rsidRDefault="00957F9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4B7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4B7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2825F6">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F9C" w:rsidRDefault="00957F9C">
      <w:r>
        <w:separator/>
      </w:r>
    </w:p>
  </w:footnote>
  <w:footnote w:type="continuationSeparator" w:id="0">
    <w:p w:rsidR="00957F9C" w:rsidRDefault="00957F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4B7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4B7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4B7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547451"/>
    <w:multiLevelType w:val="multilevel"/>
    <w:tmpl w:val="21A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86F94"/>
    <w:multiLevelType w:val="multilevel"/>
    <w:tmpl w:val="9578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2C798A"/>
    <w:multiLevelType w:val="multilevel"/>
    <w:tmpl w:val="EBA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7F7AEB"/>
    <w:multiLevelType w:val="multilevel"/>
    <w:tmpl w:val="6D36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FD17BC"/>
    <w:multiLevelType w:val="multilevel"/>
    <w:tmpl w:val="7AB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2569C7"/>
    <w:multiLevelType w:val="multilevel"/>
    <w:tmpl w:val="207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1"/>
  </w:num>
  <w:num w:numId="3">
    <w:abstractNumId w:val="26"/>
  </w:num>
  <w:num w:numId="4">
    <w:abstractNumId w:val="33"/>
  </w:num>
  <w:num w:numId="5">
    <w:abstractNumId w:val="40"/>
  </w:num>
  <w:num w:numId="6">
    <w:abstractNumId w:val="19"/>
    <w:lvlOverride w:ilvl="0">
      <w:lvl w:ilvl="0">
        <w:numFmt w:val="decimal"/>
        <w:lvlText w:val="%1."/>
        <w:lvlJc w:val="left"/>
      </w:lvl>
    </w:lvlOverride>
  </w:num>
  <w:num w:numId="7">
    <w:abstractNumId w:val="18"/>
  </w:num>
  <w:num w:numId="8">
    <w:abstractNumId w:val="12"/>
  </w:num>
  <w:num w:numId="9">
    <w:abstractNumId w:val="30"/>
  </w:num>
  <w:num w:numId="10">
    <w:abstractNumId w:val="24"/>
  </w:num>
  <w:num w:numId="11">
    <w:abstractNumId w:val="13"/>
  </w:num>
  <w:num w:numId="12">
    <w:abstractNumId w:val="34"/>
  </w:num>
  <w:num w:numId="13">
    <w:abstractNumId w:val="14"/>
  </w:num>
  <w:num w:numId="14">
    <w:abstractNumId w:val="16"/>
  </w:num>
  <w:num w:numId="15">
    <w:abstractNumId w:val="35"/>
  </w:num>
  <w:num w:numId="16">
    <w:abstractNumId w:val="39"/>
  </w:num>
  <w:num w:numId="17">
    <w:abstractNumId w:val="41"/>
  </w:num>
  <w:num w:numId="18">
    <w:abstractNumId w:val="43"/>
  </w:num>
  <w:num w:numId="19">
    <w:abstractNumId w:val="42"/>
  </w:num>
  <w:num w:numId="20">
    <w:abstractNumId w:val="38"/>
  </w:num>
  <w:num w:numId="21">
    <w:abstractNumId w:val="45"/>
  </w:num>
  <w:num w:numId="22">
    <w:abstractNumId w:val="11"/>
  </w:num>
  <w:num w:numId="23">
    <w:abstractNumId w:val="49"/>
  </w:num>
  <w:num w:numId="24">
    <w:abstractNumId w:val="20"/>
  </w:num>
  <w:num w:numId="25">
    <w:abstractNumId w:val="37"/>
  </w:num>
  <w:num w:numId="26">
    <w:abstractNumId w:val="47"/>
  </w:num>
  <w:num w:numId="27">
    <w:abstractNumId w:val="32"/>
  </w:num>
  <w:num w:numId="28">
    <w:abstractNumId w:val="10"/>
  </w:num>
  <w:num w:numId="29">
    <w:abstractNumId w:val="46"/>
  </w:num>
  <w:num w:numId="30">
    <w:abstractNumId w:val="27"/>
  </w:num>
  <w:num w:numId="31">
    <w:abstractNumId w:val="28"/>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2"/>
  </w:num>
  <w:num w:numId="43">
    <w:abstractNumId w:val="29"/>
  </w:num>
  <w:num w:numId="44">
    <w:abstractNumId w:val="25"/>
  </w:num>
  <w:num w:numId="45">
    <w:abstractNumId w:val="48"/>
  </w:num>
  <w:num w:numId="46">
    <w:abstractNumId w:val="44"/>
  </w:num>
  <w:num w:numId="47">
    <w:abstractNumId w:val="15"/>
  </w:num>
  <w:num w:numId="48">
    <w:abstractNumId w:val="36"/>
  </w:num>
  <w:num w:numId="49">
    <w:abstractNumId w:val="21"/>
  </w:num>
  <w:num w:numId="50">
    <w:abstractNumId w:val="2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64000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4E1A"/>
    <w:rsid w:val="00016AA0"/>
    <w:rsid w:val="00017DA5"/>
    <w:rsid w:val="00022BD2"/>
    <w:rsid w:val="00024FEF"/>
    <w:rsid w:val="0003072D"/>
    <w:rsid w:val="00033922"/>
    <w:rsid w:val="00033CEB"/>
    <w:rsid w:val="000362A9"/>
    <w:rsid w:val="00037D25"/>
    <w:rsid w:val="00042584"/>
    <w:rsid w:val="00044D2E"/>
    <w:rsid w:val="000457B5"/>
    <w:rsid w:val="00046A79"/>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1F4"/>
    <w:rsid w:val="00142C8E"/>
    <w:rsid w:val="0014307B"/>
    <w:rsid w:val="00143B44"/>
    <w:rsid w:val="00144AB1"/>
    <w:rsid w:val="00145211"/>
    <w:rsid w:val="00146353"/>
    <w:rsid w:val="00146577"/>
    <w:rsid w:val="00150E4E"/>
    <w:rsid w:val="0015267B"/>
    <w:rsid w:val="00153427"/>
    <w:rsid w:val="001543FF"/>
    <w:rsid w:val="00155032"/>
    <w:rsid w:val="001551D6"/>
    <w:rsid w:val="00155425"/>
    <w:rsid w:val="00155B70"/>
    <w:rsid w:val="00157604"/>
    <w:rsid w:val="00162E93"/>
    <w:rsid w:val="00163318"/>
    <w:rsid w:val="0016353A"/>
    <w:rsid w:val="00165508"/>
    <w:rsid w:val="00166951"/>
    <w:rsid w:val="00170C4A"/>
    <w:rsid w:val="00170D3F"/>
    <w:rsid w:val="00170F03"/>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0EF5"/>
    <w:rsid w:val="00241163"/>
    <w:rsid w:val="00241305"/>
    <w:rsid w:val="00241A9E"/>
    <w:rsid w:val="00245534"/>
    <w:rsid w:val="002456D5"/>
    <w:rsid w:val="00246A0F"/>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25F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25AF"/>
    <w:rsid w:val="002C61B5"/>
    <w:rsid w:val="002C647F"/>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1A91"/>
    <w:rsid w:val="00332AC6"/>
    <w:rsid w:val="00332F1F"/>
    <w:rsid w:val="00333BF8"/>
    <w:rsid w:val="00334FA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118A"/>
    <w:rsid w:val="00372666"/>
    <w:rsid w:val="00373292"/>
    <w:rsid w:val="003737F2"/>
    <w:rsid w:val="00374027"/>
    <w:rsid w:val="00375BC1"/>
    <w:rsid w:val="00381299"/>
    <w:rsid w:val="003825CB"/>
    <w:rsid w:val="00383D99"/>
    <w:rsid w:val="00392899"/>
    <w:rsid w:val="00393327"/>
    <w:rsid w:val="003940A8"/>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3FC2"/>
    <w:rsid w:val="003F6C38"/>
    <w:rsid w:val="00400D08"/>
    <w:rsid w:val="00401754"/>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B15"/>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734A"/>
    <w:rsid w:val="004908A3"/>
    <w:rsid w:val="0049251A"/>
    <w:rsid w:val="00494FEF"/>
    <w:rsid w:val="00495EC9"/>
    <w:rsid w:val="0049641D"/>
    <w:rsid w:val="004A04E5"/>
    <w:rsid w:val="004A2021"/>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D29"/>
    <w:rsid w:val="004D231A"/>
    <w:rsid w:val="004D2CC9"/>
    <w:rsid w:val="004D4741"/>
    <w:rsid w:val="004D4815"/>
    <w:rsid w:val="004D4B75"/>
    <w:rsid w:val="004D57A3"/>
    <w:rsid w:val="004D7C75"/>
    <w:rsid w:val="004E07D0"/>
    <w:rsid w:val="004E07F8"/>
    <w:rsid w:val="004E0928"/>
    <w:rsid w:val="004E737A"/>
    <w:rsid w:val="004F185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3F6"/>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8783D"/>
    <w:rsid w:val="006928C9"/>
    <w:rsid w:val="006930B8"/>
    <w:rsid w:val="006936BB"/>
    <w:rsid w:val="00694729"/>
    <w:rsid w:val="006949F3"/>
    <w:rsid w:val="006958BD"/>
    <w:rsid w:val="00697334"/>
    <w:rsid w:val="00697F02"/>
    <w:rsid w:val="006A1490"/>
    <w:rsid w:val="006A1BCD"/>
    <w:rsid w:val="006A4E17"/>
    <w:rsid w:val="006A5309"/>
    <w:rsid w:val="006A61E4"/>
    <w:rsid w:val="006B159B"/>
    <w:rsid w:val="006B447B"/>
    <w:rsid w:val="006B453D"/>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06B0"/>
    <w:rsid w:val="007019DC"/>
    <w:rsid w:val="00701F10"/>
    <w:rsid w:val="00702306"/>
    <w:rsid w:val="00702897"/>
    <w:rsid w:val="00703F1D"/>
    <w:rsid w:val="00703FAD"/>
    <w:rsid w:val="00710F13"/>
    <w:rsid w:val="00712D3F"/>
    <w:rsid w:val="00717478"/>
    <w:rsid w:val="00721D3E"/>
    <w:rsid w:val="00722B02"/>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5074B"/>
    <w:rsid w:val="00756F3A"/>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C6B36"/>
    <w:rsid w:val="007D0005"/>
    <w:rsid w:val="007D1270"/>
    <w:rsid w:val="007D25B7"/>
    <w:rsid w:val="007D64DE"/>
    <w:rsid w:val="007E03E3"/>
    <w:rsid w:val="007E1316"/>
    <w:rsid w:val="007E2B11"/>
    <w:rsid w:val="007E33DE"/>
    <w:rsid w:val="007E4C61"/>
    <w:rsid w:val="007E5901"/>
    <w:rsid w:val="007E5FD3"/>
    <w:rsid w:val="007E7D5A"/>
    <w:rsid w:val="007F12CE"/>
    <w:rsid w:val="007F3791"/>
    <w:rsid w:val="007F497A"/>
    <w:rsid w:val="00800E14"/>
    <w:rsid w:val="0080169B"/>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90667"/>
    <w:rsid w:val="008916FC"/>
    <w:rsid w:val="00894816"/>
    <w:rsid w:val="00895754"/>
    <w:rsid w:val="008A04B0"/>
    <w:rsid w:val="008A0927"/>
    <w:rsid w:val="008A7198"/>
    <w:rsid w:val="008B027A"/>
    <w:rsid w:val="008B1379"/>
    <w:rsid w:val="008B1469"/>
    <w:rsid w:val="008B271D"/>
    <w:rsid w:val="008B475A"/>
    <w:rsid w:val="008B6D39"/>
    <w:rsid w:val="008C05D0"/>
    <w:rsid w:val="008C1B2F"/>
    <w:rsid w:val="008C1D08"/>
    <w:rsid w:val="008D740A"/>
    <w:rsid w:val="008E5B16"/>
    <w:rsid w:val="008E6D7F"/>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3EA7"/>
    <w:rsid w:val="00946110"/>
    <w:rsid w:val="00947AA3"/>
    <w:rsid w:val="00947BA6"/>
    <w:rsid w:val="009519EE"/>
    <w:rsid w:val="00953B80"/>
    <w:rsid w:val="00955756"/>
    <w:rsid w:val="00957F9C"/>
    <w:rsid w:val="00960B1B"/>
    <w:rsid w:val="00961C33"/>
    <w:rsid w:val="00963694"/>
    <w:rsid w:val="00963829"/>
    <w:rsid w:val="009653C8"/>
    <w:rsid w:val="0096679C"/>
    <w:rsid w:val="00966939"/>
    <w:rsid w:val="00967966"/>
    <w:rsid w:val="0097066B"/>
    <w:rsid w:val="00971FA9"/>
    <w:rsid w:val="00972339"/>
    <w:rsid w:val="0097243F"/>
    <w:rsid w:val="009725D8"/>
    <w:rsid w:val="00974864"/>
    <w:rsid w:val="0097529C"/>
    <w:rsid w:val="00977700"/>
    <w:rsid w:val="00980CBF"/>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A3136"/>
    <w:rsid w:val="009A35C0"/>
    <w:rsid w:val="009A515E"/>
    <w:rsid w:val="009B27A2"/>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D79B9"/>
    <w:rsid w:val="009E0EF0"/>
    <w:rsid w:val="009E1A38"/>
    <w:rsid w:val="009F140E"/>
    <w:rsid w:val="009F333D"/>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006"/>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879CC"/>
    <w:rsid w:val="00B90E01"/>
    <w:rsid w:val="00B912B4"/>
    <w:rsid w:val="00B92C02"/>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334E"/>
    <w:rsid w:val="00BC65E7"/>
    <w:rsid w:val="00BC76E9"/>
    <w:rsid w:val="00BD14A6"/>
    <w:rsid w:val="00BD1690"/>
    <w:rsid w:val="00BD3405"/>
    <w:rsid w:val="00BD4366"/>
    <w:rsid w:val="00BD5290"/>
    <w:rsid w:val="00BD5637"/>
    <w:rsid w:val="00BD6C6B"/>
    <w:rsid w:val="00BE1FCF"/>
    <w:rsid w:val="00BE3E2D"/>
    <w:rsid w:val="00BE40B1"/>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4EC6"/>
    <w:rsid w:val="00C370A6"/>
    <w:rsid w:val="00C401BF"/>
    <w:rsid w:val="00C411BB"/>
    <w:rsid w:val="00C416CD"/>
    <w:rsid w:val="00C424D7"/>
    <w:rsid w:val="00C42DFB"/>
    <w:rsid w:val="00C43776"/>
    <w:rsid w:val="00C447AA"/>
    <w:rsid w:val="00C45B46"/>
    <w:rsid w:val="00C47429"/>
    <w:rsid w:val="00C474B5"/>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02C8"/>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C7B6D"/>
    <w:rsid w:val="00CD0835"/>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A035E"/>
    <w:rsid w:val="00DA2A7E"/>
    <w:rsid w:val="00DA3B37"/>
    <w:rsid w:val="00DA5CEF"/>
    <w:rsid w:val="00DA7836"/>
    <w:rsid w:val="00DB0789"/>
    <w:rsid w:val="00DB0B67"/>
    <w:rsid w:val="00DB107B"/>
    <w:rsid w:val="00DB1736"/>
    <w:rsid w:val="00DB3A08"/>
    <w:rsid w:val="00DB6265"/>
    <w:rsid w:val="00DB6FE4"/>
    <w:rsid w:val="00DB7CC5"/>
    <w:rsid w:val="00DC1095"/>
    <w:rsid w:val="00DC1455"/>
    <w:rsid w:val="00DC2219"/>
    <w:rsid w:val="00DC287F"/>
    <w:rsid w:val="00DC42E5"/>
    <w:rsid w:val="00DC669A"/>
    <w:rsid w:val="00DC7EF8"/>
    <w:rsid w:val="00DD1B7E"/>
    <w:rsid w:val="00DD2A26"/>
    <w:rsid w:val="00DD529E"/>
    <w:rsid w:val="00DD6B7F"/>
    <w:rsid w:val="00DD7FE9"/>
    <w:rsid w:val="00DE4686"/>
    <w:rsid w:val="00DE761A"/>
    <w:rsid w:val="00DF069E"/>
    <w:rsid w:val="00DF2C68"/>
    <w:rsid w:val="00E0075E"/>
    <w:rsid w:val="00E00F46"/>
    <w:rsid w:val="00E02F08"/>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6A85"/>
    <w:rsid w:val="00E47CD0"/>
    <w:rsid w:val="00E51257"/>
    <w:rsid w:val="00E52D15"/>
    <w:rsid w:val="00E54A89"/>
    <w:rsid w:val="00E57524"/>
    <w:rsid w:val="00E614F2"/>
    <w:rsid w:val="00E634E5"/>
    <w:rsid w:val="00E637DB"/>
    <w:rsid w:val="00E65C23"/>
    <w:rsid w:val="00E6697D"/>
    <w:rsid w:val="00E66B9E"/>
    <w:rsid w:val="00E71175"/>
    <w:rsid w:val="00E72249"/>
    <w:rsid w:val="00E73FED"/>
    <w:rsid w:val="00E75290"/>
    <w:rsid w:val="00E803DC"/>
    <w:rsid w:val="00E852FB"/>
    <w:rsid w:val="00E85BD7"/>
    <w:rsid w:val="00E9104D"/>
    <w:rsid w:val="00E9104F"/>
    <w:rsid w:val="00E9115F"/>
    <w:rsid w:val="00E913E2"/>
    <w:rsid w:val="00E932ED"/>
    <w:rsid w:val="00E965BD"/>
    <w:rsid w:val="00E9696F"/>
    <w:rsid w:val="00EA0389"/>
    <w:rsid w:val="00EA0ED5"/>
    <w:rsid w:val="00EA117C"/>
    <w:rsid w:val="00EA3358"/>
    <w:rsid w:val="00EA481E"/>
    <w:rsid w:val="00EA6523"/>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0196"/>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365A4"/>
    <w:rsid w:val="00F412F6"/>
    <w:rsid w:val="00F43004"/>
    <w:rsid w:val="00F45169"/>
    <w:rsid w:val="00F46966"/>
    <w:rsid w:val="00F46BCE"/>
    <w:rsid w:val="00F50A25"/>
    <w:rsid w:val="00F50D86"/>
    <w:rsid w:val="00F513B5"/>
    <w:rsid w:val="00F538E0"/>
    <w:rsid w:val="00F53CB8"/>
    <w:rsid w:val="00F53EA7"/>
    <w:rsid w:val="00F56E96"/>
    <w:rsid w:val="00F606E4"/>
    <w:rsid w:val="00F60E02"/>
    <w:rsid w:val="00F63FD9"/>
    <w:rsid w:val="00F64D09"/>
    <w:rsid w:val="00F66636"/>
    <w:rsid w:val="00F70E19"/>
    <w:rsid w:val="00F719CF"/>
    <w:rsid w:val="00F73E7A"/>
    <w:rsid w:val="00F76C6A"/>
    <w:rsid w:val="00F776B9"/>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C5475"/>
    <w:rsid w:val="00FC6827"/>
    <w:rsid w:val="00FD0CAD"/>
    <w:rsid w:val="00FD6398"/>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0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 w:type="character" w:customStyle="1" w:styleId="in-right">
    <w:name w:val="in-right"/>
    <w:basedOn w:val="Fuentedeprrafopredeter"/>
    <w:rsid w:val="00BE1FCF"/>
  </w:style>
  <w:style w:type="paragraph" w:customStyle="1" w:styleId="selectionshareable">
    <w:name w:val="selectionshareable"/>
    <w:basedOn w:val="Normal"/>
    <w:rsid w:val="00BE1FCF"/>
    <w:pPr>
      <w:spacing w:before="100" w:beforeAutospacing="1" w:after="100" w:afterAutospacing="1"/>
    </w:pPr>
  </w:style>
  <w:style w:type="character" w:customStyle="1" w:styleId="teads-ui-components-credits-colored">
    <w:name w:val="teads-ui-components-credits-colored"/>
    <w:basedOn w:val="Fuentedeprrafopredeter"/>
    <w:rsid w:val="00BE1FCF"/>
  </w:style>
  <w:style w:type="paragraph" w:customStyle="1" w:styleId="pau1">
    <w:name w:val="pau1"/>
    <w:basedOn w:val="Normal"/>
    <w:rsid w:val="009519EE"/>
    <w:pPr>
      <w:spacing w:before="100" w:beforeAutospacing="1" w:after="100" w:afterAutospacing="1"/>
      <w:jc w:val="center"/>
    </w:pPr>
    <w:rPr>
      <w:b/>
      <w:bCs/>
      <w:color w:val="00255C"/>
    </w:rPr>
  </w:style>
  <w:style w:type="paragraph" w:customStyle="1" w:styleId="ppr1">
    <w:name w:val="ppr1"/>
    <w:basedOn w:val="Normal"/>
    <w:rsid w:val="009519EE"/>
    <w:pPr>
      <w:spacing w:before="100" w:beforeAutospacing="1" w:after="100" w:afterAutospacing="1"/>
      <w:jc w:val="center"/>
    </w:pPr>
    <w:rPr>
      <w:i/>
      <w:iCs/>
      <w:color w:val="333333"/>
    </w:rPr>
  </w:style>
  <w:style w:type="paragraph" w:customStyle="1" w:styleId="pex1">
    <w:name w:val="pex1"/>
    <w:basedOn w:val="Normal"/>
    <w:rsid w:val="009519EE"/>
    <w:pPr>
      <w:spacing w:before="100" w:beforeAutospacing="1" w:after="100" w:afterAutospacing="1"/>
      <w:jc w:val="center"/>
    </w:pPr>
    <w:rPr>
      <w:color w:val="333333"/>
    </w:rPr>
  </w:style>
  <w:style w:type="paragraph" w:customStyle="1" w:styleId="d11">
    <w:name w:val="d11"/>
    <w:basedOn w:val="Normal"/>
    <w:rsid w:val="009519EE"/>
    <w:pPr>
      <w:spacing w:before="120" w:after="120"/>
      <w:ind w:left="120" w:right="120"/>
      <w:jc w:val="center"/>
    </w:pPr>
    <w:rPr>
      <w:b/>
      <w:bCs/>
      <w:color w:val="00255C"/>
      <w:sz w:val="26"/>
      <w:szCs w:val="26"/>
    </w:rPr>
  </w:style>
  <w:style w:type="paragraph" w:customStyle="1" w:styleId="d21">
    <w:name w:val="d21"/>
    <w:basedOn w:val="Normal"/>
    <w:rsid w:val="009519EE"/>
    <w:pPr>
      <w:spacing w:before="120" w:after="120"/>
      <w:ind w:left="120" w:right="120"/>
      <w:jc w:val="center"/>
    </w:pPr>
    <w:rPr>
      <w:b/>
      <w:bCs/>
      <w:color w:val="00255C"/>
      <w:sz w:val="26"/>
      <w:szCs w:val="26"/>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9AD04-AA3E-4525-8082-F7B00B68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519</Words>
  <Characters>2855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3368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2016-10-27T06:08:00Z</dcterms:created>
  <dcterms:modified xsi:type="dcterms:W3CDTF">2016-10-27T06:08:00Z</dcterms:modified>
</cp:coreProperties>
</file>