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BDC" w:rsidRPr="00142952" w:rsidRDefault="006A551E" w:rsidP="006A551E">
      <w:pPr>
        <w:spacing w:before="100" w:beforeAutospacing="1" w:after="100" w:afterAutospacing="1"/>
        <w:jc w:val="both"/>
        <w:outlineLvl w:val="0"/>
        <w:rPr>
          <w:rFonts w:ascii="Arial" w:hAnsi="Arial" w:cs="Arial"/>
        </w:rPr>
      </w:pPr>
      <w:r w:rsidRPr="00142952">
        <w:rPr>
          <w:rFonts w:ascii="Arial" w:hAnsi="Arial" w:cs="Arial"/>
          <w:b/>
          <w:bCs/>
          <w:kern w:val="36"/>
        </w:rPr>
        <w:t>VALORES SANTANDER</w:t>
      </w:r>
      <w:r w:rsidR="008A7BDC" w:rsidRPr="00142952">
        <w:rPr>
          <w:rFonts w:ascii="Arial" w:hAnsi="Arial" w:cs="Arial"/>
          <w:b/>
          <w:bCs/>
          <w:kern w:val="36"/>
        </w:rPr>
        <w:t>: el 4 de octub</w:t>
      </w:r>
      <w:r>
        <w:rPr>
          <w:rFonts w:ascii="Arial" w:hAnsi="Arial" w:cs="Arial"/>
          <w:b/>
          <w:bCs/>
          <w:kern w:val="36"/>
        </w:rPr>
        <w:t xml:space="preserve">re acaba el plazo para reclamar. </w:t>
      </w:r>
      <w:r w:rsidR="008A7BDC" w:rsidRPr="00142952">
        <w:rPr>
          <w:rFonts w:ascii="Arial" w:hAnsi="Arial" w:cs="Arial"/>
          <w:b/>
          <w:bCs/>
        </w:rPr>
        <w:t xml:space="preserve">El 4 de octubre concluye el plazo para reclamar por la emisión de Valores Santander, con la que el banco financió la compra de ABN </w:t>
      </w:r>
      <w:proofErr w:type="spellStart"/>
      <w:r w:rsidR="008A7BDC" w:rsidRPr="00142952">
        <w:rPr>
          <w:rFonts w:ascii="Arial" w:hAnsi="Arial" w:cs="Arial"/>
          <w:b/>
          <w:bCs/>
        </w:rPr>
        <w:t>Amro</w:t>
      </w:r>
      <w:proofErr w:type="spellEnd"/>
      <w:r w:rsidR="008A7BDC" w:rsidRPr="00142952">
        <w:rPr>
          <w:rFonts w:ascii="Arial" w:hAnsi="Arial" w:cs="Arial"/>
        </w:rPr>
        <w:t xml:space="preserve"> con la emisión de 7.000 millones de euros que colocó a unos 129.000 clientes, y que le costó una sanción de 16,9 millones, que finalmente se quedó en 6,9 millones.</w:t>
      </w:r>
    </w:p>
    <w:p w:rsidR="008A7BDC" w:rsidRPr="00142952" w:rsidRDefault="008A7BDC" w:rsidP="008A7BDC">
      <w:pPr>
        <w:spacing w:before="100" w:beforeAutospacing="1" w:after="100" w:afterAutospacing="1"/>
        <w:jc w:val="both"/>
        <w:rPr>
          <w:rFonts w:ascii="Arial" w:hAnsi="Arial" w:cs="Arial"/>
        </w:rPr>
      </w:pPr>
      <w:r w:rsidRPr="00142952">
        <w:rPr>
          <w:rFonts w:ascii="Arial" w:hAnsi="Arial" w:cs="Arial"/>
        </w:rPr>
        <w:t xml:space="preserve">En 2007, el banco anunció la emisión de 7.000 millones de euros en "Valores Santander", divididos en 1,4 millones de valores de 5.000 euros cada uno, que se realizó para hacer frente a parte de la oferta pública de adquisición (OPA) sobre el 100 % de ABN </w:t>
      </w:r>
      <w:proofErr w:type="spellStart"/>
      <w:r w:rsidRPr="00142952">
        <w:rPr>
          <w:rFonts w:ascii="Arial" w:hAnsi="Arial" w:cs="Arial"/>
        </w:rPr>
        <w:t>Amro</w:t>
      </w:r>
      <w:proofErr w:type="spellEnd"/>
      <w:r w:rsidRPr="00142952">
        <w:rPr>
          <w:rFonts w:ascii="Arial" w:hAnsi="Arial" w:cs="Arial"/>
        </w:rPr>
        <w:t>, Royal Bank of Scotland y Fortis.</w:t>
      </w:r>
    </w:p>
    <w:p w:rsidR="008A7BDC" w:rsidRPr="00142952" w:rsidRDefault="008A7BDC" w:rsidP="008A7BDC">
      <w:pPr>
        <w:spacing w:before="100" w:beforeAutospacing="1" w:after="100" w:afterAutospacing="1"/>
        <w:jc w:val="both"/>
        <w:rPr>
          <w:rFonts w:ascii="Arial" w:hAnsi="Arial" w:cs="Arial"/>
        </w:rPr>
      </w:pPr>
      <w:r w:rsidRPr="00142952">
        <w:rPr>
          <w:rFonts w:ascii="Arial" w:hAnsi="Arial" w:cs="Arial"/>
          <w:b/>
          <w:bCs/>
        </w:rPr>
        <w:t>Los bonos convertibles tenían la condición de canjearse por acciones a los cinco años</w:t>
      </w:r>
      <w:r w:rsidRPr="00142952">
        <w:rPr>
          <w:rFonts w:ascii="Arial" w:hAnsi="Arial" w:cs="Arial"/>
        </w:rPr>
        <w:t>, pero a un precio predeterminado con antelación que ha supuesto para los inversores pérdidas de aproximadamente un 55 %, según explican los socios del bufete V Abogados.</w:t>
      </w:r>
    </w:p>
    <w:p w:rsidR="008A7BDC" w:rsidRPr="00142952" w:rsidRDefault="008A7BDC" w:rsidP="008A7BDC">
      <w:pPr>
        <w:spacing w:before="100" w:beforeAutospacing="1" w:after="100" w:afterAutospacing="1"/>
        <w:jc w:val="both"/>
        <w:rPr>
          <w:rFonts w:ascii="Arial" w:hAnsi="Arial" w:cs="Arial"/>
        </w:rPr>
      </w:pPr>
      <w:r w:rsidRPr="00142952">
        <w:rPr>
          <w:rFonts w:ascii="Arial" w:hAnsi="Arial" w:cs="Arial"/>
          <w:b/>
          <w:bCs/>
        </w:rPr>
        <w:t>La Comisión Nacional del Mercado de Valores (</w:t>
      </w:r>
      <w:proofErr w:type="spellStart"/>
      <w:r w:rsidRPr="00142952">
        <w:rPr>
          <w:rFonts w:ascii="Arial" w:hAnsi="Arial" w:cs="Arial"/>
          <w:b/>
          <w:bCs/>
        </w:rPr>
        <w:t>CNMV</w:t>
      </w:r>
      <w:proofErr w:type="spellEnd"/>
      <w:r w:rsidRPr="00142952">
        <w:rPr>
          <w:rFonts w:ascii="Arial" w:hAnsi="Arial" w:cs="Arial"/>
          <w:b/>
          <w:bCs/>
        </w:rPr>
        <w:t>) sancionó en 2014 a la entidad con diez millones </w:t>
      </w:r>
      <w:r w:rsidRPr="00142952">
        <w:rPr>
          <w:rFonts w:ascii="Arial" w:hAnsi="Arial" w:cs="Arial"/>
        </w:rPr>
        <w:t>de euros por la comisión de una infracción grave al no disponer de la información necesaria sobre sus clientes en el proceso de suscripción de la emisión, y con 6,9 millones de euros por una falta muy grave en relación con el incumplimiento de algunas de las obligaciones que regulan la relación entre el banco y su clientela.</w:t>
      </w:r>
    </w:p>
    <w:p w:rsidR="008A7BDC" w:rsidRPr="00142952" w:rsidRDefault="008A7BDC" w:rsidP="008A7BDC">
      <w:pPr>
        <w:spacing w:before="100" w:beforeAutospacing="1" w:after="100" w:afterAutospacing="1"/>
        <w:jc w:val="both"/>
        <w:rPr>
          <w:rFonts w:ascii="Arial" w:hAnsi="Arial" w:cs="Arial"/>
        </w:rPr>
      </w:pPr>
      <w:r w:rsidRPr="00142952">
        <w:rPr>
          <w:rFonts w:ascii="Arial" w:hAnsi="Arial" w:cs="Arial"/>
        </w:rPr>
        <w:t>Sin embargo, la Audiencia Nacional admitió en julio del año pasado un recurso del Santander y confirmó la multa de 6,9 millones por la inadecuada comercialización de la emisión y anuló la otra.</w:t>
      </w:r>
    </w:p>
    <w:p w:rsidR="008A7BDC" w:rsidRPr="00142952" w:rsidRDefault="008A7BDC" w:rsidP="008A7BDC">
      <w:pPr>
        <w:spacing w:before="100" w:beforeAutospacing="1" w:after="100" w:afterAutospacing="1"/>
        <w:jc w:val="both"/>
        <w:rPr>
          <w:rFonts w:ascii="Arial" w:hAnsi="Arial" w:cs="Arial"/>
          <w:b/>
          <w:bCs/>
        </w:rPr>
      </w:pPr>
      <w:r w:rsidRPr="00142952">
        <w:rPr>
          <w:rFonts w:ascii="Arial" w:hAnsi="Arial" w:cs="Arial"/>
        </w:rPr>
        <w:t>Durante este tiempo, miles de clientes han reclamado por la vía judicial para recuperar su inversión, pero a punto de concluir el plazo para reclamar, que empezó a contar a partir del momento del canje entre los bonos convertibles por acciones del Santander -octubre de 2012-,</w:t>
      </w:r>
      <w:r w:rsidRPr="00142952">
        <w:rPr>
          <w:rFonts w:ascii="Arial" w:hAnsi="Arial" w:cs="Arial"/>
          <w:b/>
          <w:bCs/>
        </w:rPr>
        <w:t xml:space="preserve"> aún podría haber unos 65.000 afectados que no han reclamado.</w:t>
      </w:r>
    </w:p>
    <w:p w:rsidR="008A7BDC" w:rsidRPr="00142952" w:rsidRDefault="008A7BDC" w:rsidP="008A7BDC">
      <w:pPr>
        <w:spacing w:before="100" w:beforeAutospacing="1" w:after="100" w:afterAutospacing="1"/>
        <w:jc w:val="both"/>
        <w:rPr>
          <w:rFonts w:ascii="Arial" w:hAnsi="Arial" w:cs="Arial"/>
        </w:rPr>
      </w:pPr>
      <w:r w:rsidRPr="00142952">
        <w:rPr>
          <w:rFonts w:ascii="Arial" w:hAnsi="Arial" w:cs="Arial"/>
        </w:rPr>
        <w:t>Vaya por delante que el Banco Santander no es ni el primero, ni el último ni el peor banco que ha comercializado productos inadecuados en sus sucursales, a mi modo de ver. Los conocidos por ‘Valores Santander’, desde mi punto de vista profesional, eran un producto de inversión de riesgo no apto para ahorradores conservadores y con una cultura financiera habitual (baja, me temo). En base a esta idea, no deberían haberse comercializado de forma masiva en sucursales, diseñadas para ser puntos de venta agresivos, pese a que en el 2007 los clientes iban confiados a asesorarse.</w:t>
      </w:r>
    </w:p>
    <w:p w:rsidR="008A7BDC" w:rsidRPr="00142952" w:rsidRDefault="008A7BDC" w:rsidP="008A7BDC">
      <w:pPr>
        <w:spacing w:before="100" w:beforeAutospacing="1" w:after="100" w:afterAutospacing="1"/>
        <w:jc w:val="both"/>
        <w:rPr>
          <w:rFonts w:ascii="Arial" w:hAnsi="Arial" w:cs="Arial"/>
        </w:rPr>
      </w:pPr>
    </w:p>
    <w:p w:rsidR="008A7BDC" w:rsidRPr="00142952" w:rsidRDefault="008A7BDC" w:rsidP="008A7BDC">
      <w:pPr>
        <w:spacing w:before="100" w:beforeAutospacing="1" w:after="100" w:afterAutospacing="1"/>
        <w:jc w:val="both"/>
        <w:rPr>
          <w:rFonts w:ascii="Arial" w:hAnsi="Arial" w:cs="Arial"/>
        </w:rPr>
      </w:pPr>
      <w:r w:rsidRPr="00142952">
        <w:rPr>
          <w:rFonts w:ascii="Arial" w:hAnsi="Arial" w:cs="Arial"/>
        </w:rPr>
        <w:lastRenderedPageBreak/>
        <w:t>Si compraste Valores Santander acudiendo a una oficina y solicitando obligaciones necesariamente convertibles en acciones del banco a un plazo de 5 años, a un interés nominal el primer año del 7,30% liquidable trimestralmente y con un cupón variable referenciado a Euribor más 2,75 puntos porcentuales el resto de anualidades, entendiendo perfectamente lo que pedías, evidentemente, el proceso de contratación fue el adecuado.</w:t>
      </w:r>
    </w:p>
    <w:p w:rsidR="008A7BDC" w:rsidRPr="00142952" w:rsidRDefault="008A7BDC" w:rsidP="008A7BDC">
      <w:pPr>
        <w:spacing w:before="100" w:beforeAutospacing="1" w:after="100" w:afterAutospacing="1"/>
        <w:jc w:val="both"/>
        <w:rPr>
          <w:rFonts w:ascii="Arial" w:hAnsi="Arial" w:cs="Arial"/>
        </w:rPr>
      </w:pPr>
      <w:r w:rsidRPr="00142952">
        <w:rPr>
          <w:rFonts w:ascii="Arial" w:hAnsi="Arial" w:cs="Arial"/>
        </w:rPr>
        <w:t>Si por el contrario, eras un cliente sin conocimientos ni ganas de invertir en bolsa, un ahorrador que buscaba la seguridad de un depósito a plazo fijo tradicional, que entraste por la puerta de la sucursal o te llamaron al teléfono para ofrecerte un producto rentable, con toda la seguridad el Banco Santander, algo falló en el proceso de comercialización.</w:t>
      </w:r>
    </w:p>
    <w:p w:rsidR="008A7BDC" w:rsidRPr="00142952" w:rsidRDefault="008A7BDC" w:rsidP="008A7BDC">
      <w:pPr>
        <w:spacing w:before="100" w:beforeAutospacing="1" w:after="100" w:afterAutospacing="1"/>
        <w:jc w:val="both"/>
        <w:rPr>
          <w:rFonts w:ascii="Arial" w:hAnsi="Arial" w:cs="Arial"/>
        </w:rPr>
      </w:pPr>
      <w:r w:rsidRPr="00142952">
        <w:rPr>
          <w:rFonts w:ascii="Arial" w:hAnsi="Arial" w:cs="Arial"/>
        </w:rPr>
        <w:t>En mi primer libro  ya hablé de las dudas que este producto de riesgo y la forma de venta de las oficinas de bancos que conocía me producían. Entre otras cosas decía: “Bancarios de la entidad me han defendido el producto alabando las virtudes del banco, afirmando que sus acciones cotizan muy por debajo de su valor real, a causa de la crisis económica en España que provoca que los inversores castiguen de forma indiscriminada cualquier empresa del país, por mucho que su negocio esté muy diversificado como es el caso del Banco Santander. Es cierto que la entidad es fuerte y solvente, no lo pongo en duda. Pero no es menos cierto que los clientes que quieran recuperar su dinero tendrán que vender unas acciones que tuvieron que adquirir caras a un precio muy bajo, asumiendo una pérdida muy importante. Los argumentos de que la acción subirá no me valen; si tanta confianza tiene el banco en sus acciones, que hubiera asumido ésta las pérdidas, no el cliente”.</w:t>
      </w:r>
    </w:p>
    <w:p w:rsidR="008A7BDC" w:rsidRPr="00142952" w:rsidRDefault="008A7BDC" w:rsidP="008A7BDC">
      <w:pPr>
        <w:spacing w:before="100" w:beforeAutospacing="1" w:after="100" w:afterAutospacing="1"/>
        <w:jc w:val="both"/>
        <w:rPr>
          <w:rFonts w:ascii="Arial" w:hAnsi="Arial" w:cs="Arial"/>
        </w:rPr>
      </w:pPr>
      <w:r w:rsidRPr="00142952">
        <w:rPr>
          <w:rFonts w:ascii="Arial" w:hAnsi="Arial" w:cs="Arial"/>
        </w:rPr>
        <w:t xml:space="preserve">La definición técnica de los ‘Valores Santander’ es algo compleja, si bien, en realidad, se puede describir de una forma bastante sencilla: el Banco Santander pidió prestado a sus clientes (un bono u obligación es un préstamo de los clientes a los bancos u otros emisores, en esencia) 7.000 millones de euros para financiar la compra del banco holandés ABN </w:t>
      </w:r>
      <w:proofErr w:type="spellStart"/>
      <w:r w:rsidRPr="00142952">
        <w:rPr>
          <w:rFonts w:ascii="Arial" w:hAnsi="Arial" w:cs="Arial"/>
        </w:rPr>
        <w:t>Amro</w:t>
      </w:r>
      <w:proofErr w:type="spellEnd"/>
      <w:r w:rsidRPr="00142952">
        <w:rPr>
          <w:rFonts w:ascii="Arial" w:hAnsi="Arial" w:cs="Arial"/>
        </w:rPr>
        <w:t>. Se comprometió a devolver el préstamo mediante un interés del 7,50% TAE el primer año y un Euribor más 2,75% después, hasta su vencimiento en octubre de 2012. Hasta aquí la cosa no suena mal, dejamos dinero a un banco fuerte y diversificado, cobrando intereses más altos que los que pagamos por una hipoteca, por ejemplo.</w:t>
      </w:r>
    </w:p>
    <w:p w:rsidR="008A7BDC" w:rsidRPr="00142952" w:rsidRDefault="008A7BDC" w:rsidP="008A7BDC">
      <w:pPr>
        <w:spacing w:before="100" w:beforeAutospacing="1" w:after="100" w:afterAutospacing="1"/>
        <w:jc w:val="both"/>
        <w:rPr>
          <w:rFonts w:ascii="Arial" w:hAnsi="Arial" w:cs="Arial"/>
        </w:rPr>
      </w:pPr>
      <w:r w:rsidRPr="00142952">
        <w:rPr>
          <w:rFonts w:ascii="Arial" w:hAnsi="Arial" w:cs="Arial"/>
        </w:rPr>
        <w:t>Evidentemente, hay truco. Al ser obligaciones necesariamente convertibles en acciones (una obligación para el cliente), al vencimiento no nos devuelven el capital invertido, sino acciones. Una vez más, puede parecer un negocio interesante; nos pagan lo que hemos invertido con acciones de un banco que ha sido siempre muy rentable.</w:t>
      </w:r>
    </w:p>
    <w:p w:rsidR="008A7BDC" w:rsidRPr="00142952" w:rsidRDefault="008A7BDC" w:rsidP="008A7BDC">
      <w:pPr>
        <w:spacing w:before="100" w:beforeAutospacing="1" w:after="100" w:afterAutospacing="1"/>
        <w:jc w:val="both"/>
        <w:rPr>
          <w:rFonts w:ascii="Arial" w:hAnsi="Arial" w:cs="Arial"/>
        </w:rPr>
      </w:pPr>
      <w:r w:rsidRPr="00142952">
        <w:rPr>
          <w:rFonts w:ascii="Arial" w:hAnsi="Arial" w:cs="Arial"/>
        </w:rPr>
        <w:lastRenderedPageBreak/>
        <w:t>De nuevo, hay truco en la letra pequeña: las acciones que nos entregarán no serán a precio de mercado a fecha del vencimiento, sino en base a un precio fijado al contratar el producto y una prima del 16%. Vuelve a sonar bien: además de ganar intereses, me entregarán acciones y con un regalo respecto al precio de ahora.</w:t>
      </w:r>
    </w:p>
    <w:p w:rsidR="008A7BDC" w:rsidRPr="00142952" w:rsidRDefault="008A7BDC" w:rsidP="008A7BDC">
      <w:pPr>
        <w:spacing w:before="100" w:beforeAutospacing="1" w:after="100" w:afterAutospacing="1"/>
        <w:jc w:val="both"/>
        <w:rPr>
          <w:rFonts w:ascii="Arial" w:hAnsi="Arial" w:cs="Arial"/>
        </w:rPr>
      </w:pPr>
      <w:r w:rsidRPr="00142952">
        <w:rPr>
          <w:rFonts w:ascii="Arial" w:hAnsi="Arial" w:cs="Arial"/>
        </w:rPr>
        <w:t xml:space="preserve">Un pequeño detalle, que a nadie se le pasó por la cabeza (a nadie de los clientes, porque me cuesta creer que los certeros estudios del banco no lo previeran), es que si la acción cae, el cliente cobra con acciones sobrevaloradas; es decir, pierde dinero. Y las acciones perdieron valor y mucho; el canje final se marcó en 12,96 euros la acción, cuando en ese momento cotizaban a menos de 6 euros la acción (actualmente siguen a un precio de cotización bajo de cerca de 6,5 euros la acción), lo que se tradujo en una pérdida del 55% del capital, de un 32% si le restamos a la pérdida los intereses que cobraron los clientes. Esta explicación ya es algo más compleja, pero para simplificarla me baso en el folleto registrado en la </w:t>
      </w:r>
      <w:proofErr w:type="spellStart"/>
      <w:r w:rsidRPr="00142952">
        <w:rPr>
          <w:rFonts w:ascii="Arial" w:hAnsi="Arial" w:cs="Arial"/>
        </w:rPr>
        <w:t>CNMV</w:t>
      </w:r>
      <w:proofErr w:type="spellEnd"/>
      <w:r w:rsidRPr="00142952">
        <w:rPr>
          <w:rFonts w:ascii="Arial" w:hAnsi="Arial" w:cs="Arial"/>
        </w:rPr>
        <w:t xml:space="preserve"> el 19/09/2007, que en el capítulo 21, página 3, dice:</w:t>
      </w:r>
    </w:p>
    <w:p w:rsidR="008A7BDC" w:rsidRPr="00142952" w:rsidRDefault="008A7BDC" w:rsidP="008A7BDC">
      <w:pPr>
        <w:spacing w:before="100" w:beforeAutospacing="1" w:after="100" w:afterAutospacing="1"/>
        <w:jc w:val="both"/>
        <w:rPr>
          <w:rFonts w:ascii="Arial" w:hAnsi="Arial" w:cs="Arial"/>
        </w:rPr>
      </w:pPr>
      <w:r w:rsidRPr="00142952">
        <w:rPr>
          <w:rFonts w:ascii="Arial" w:hAnsi="Arial" w:cs="Arial"/>
        </w:rPr>
        <w:t>“Con ocasión de cada canje de los Valores Santander, las obligaciones necesariamente convertibles entregadas a los titulares de los Valores que hayan acudido al canje serán convertidas, a su vez, en acciones Santander. De este modo, los titulares de los Valores Santander que procedan a su canje adquirirán, indirectamente, acciones Santander”.</w:t>
      </w:r>
    </w:p>
    <w:p w:rsidR="008A7BDC" w:rsidRPr="00142952" w:rsidRDefault="008A7BDC" w:rsidP="008A7BDC">
      <w:pPr>
        <w:spacing w:before="100" w:beforeAutospacing="1" w:after="100" w:afterAutospacing="1"/>
        <w:jc w:val="both"/>
        <w:rPr>
          <w:rFonts w:ascii="Arial" w:hAnsi="Arial" w:cs="Arial"/>
        </w:rPr>
      </w:pPr>
      <w:r w:rsidRPr="00142952">
        <w:rPr>
          <w:rFonts w:ascii="Arial" w:hAnsi="Arial" w:cs="Arial"/>
        </w:rPr>
        <w:t xml:space="preserve">Llegado a este punto, ya puedo definir básicamente lo que eran los Valores Santander: un préstamo al Banco Santander para que comprara acciones de otro banco, a cambio de unos interese periódicos altos y asumiendo el riesgo indirecto del accionista. Si te lo explicaron así, sabías que “jugabas” a bolsa. </w:t>
      </w:r>
      <w:proofErr w:type="spellStart"/>
      <w:r w:rsidRPr="00142952">
        <w:rPr>
          <w:rFonts w:ascii="Arial" w:hAnsi="Arial" w:cs="Arial"/>
        </w:rPr>
        <w:t>Sino</w:t>
      </w:r>
      <w:proofErr w:type="spellEnd"/>
      <w:r w:rsidRPr="00142952">
        <w:rPr>
          <w:rFonts w:ascii="Arial" w:hAnsi="Arial" w:cs="Arial"/>
        </w:rPr>
        <w:t>, probablemente hubo vicios en tu consentimiento.</w:t>
      </w:r>
    </w:p>
    <w:p w:rsidR="008A7BDC" w:rsidRPr="00142952" w:rsidRDefault="008A7BDC" w:rsidP="008A7BDC">
      <w:pPr>
        <w:spacing w:before="100" w:beforeAutospacing="1" w:after="100" w:afterAutospacing="1"/>
        <w:jc w:val="both"/>
        <w:rPr>
          <w:rFonts w:ascii="Arial" w:hAnsi="Arial" w:cs="Arial"/>
        </w:rPr>
      </w:pPr>
      <w:r w:rsidRPr="00142952">
        <w:rPr>
          <w:rFonts w:ascii="Arial" w:hAnsi="Arial" w:cs="Arial"/>
        </w:rPr>
        <w:t xml:space="preserve">Las demandas no han dado la razón en muchas ocasiones a los clientes, con algunas excepciones, pero me atrevo a indicar un factor desfavorable: los jueces en un primer momento no conocían cómo se vendían productos en las sucursales, información que sí ha acabado calando en ellos en relación a las participaciones preferentes o las obligaciones subordinadas. Por otra parte, no tenían el amparo legal de la posterior aprobación de la normativa de transparencia </w:t>
      </w:r>
      <w:proofErr w:type="spellStart"/>
      <w:r w:rsidRPr="00142952">
        <w:rPr>
          <w:rFonts w:ascii="Arial" w:hAnsi="Arial" w:cs="Arial"/>
        </w:rPr>
        <w:t>Mifid</w:t>
      </w:r>
      <w:proofErr w:type="spellEnd"/>
      <w:r w:rsidRPr="00142952">
        <w:rPr>
          <w:rFonts w:ascii="Arial" w:hAnsi="Arial" w:cs="Arial"/>
        </w:rPr>
        <w:t>. En este extremo no profundizaré, dado que mi formación legal no pasa de haber aprobado ‘Derecho Romano’ o ‘Teoría del Derecho’, entre otros pinitos en la carrera de Derecho.</w:t>
      </w:r>
    </w:p>
    <w:p w:rsidR="008A7BDC" w:rsidRPr="00142952" w:rsidRDefault="008A7BDC" w:rsidP="008A7BDC">
      <w:pPr>
        <w:spacing w:before="100" w:beforeAutospacing="1" w:after="100" w:afterAutospacing="1"/>
        <w:jc w:val="both"/>
        <w:rPr>
          <w:rFonts w:ascii="Arial" w:hAnsi="Arial" w:cs="Arial"/>
        </w:rPr>
      </w:pPr>
      <w:r w:rsidRPr="00142952">
        <w:rPr>
          <w:rFonts w:ascii="Arial" w:hAnsi="Arial" w:cs="Arial"/>
        </w:rPr>
        <w:t xml:space="preserve">La nada sospechosa de castigar severamente a la banca </w:t>
      </w:r>
      <w:proofErr w:type="spellStart"/>
      <w:r w:rsidRPr="00142952">
        <w:rPr>
          <w:rFonts w:ascii="Arial" w:hAnsi="Arial" w:cs="Arial"/>
        </w:rPr>
        <w:t>CNMV</w:t>
      </w:r>
      <w:proofErr w:type="spellEnd"/>
      <w:r w:rsidRPr="00142952">
        <w:rPr>
          <w:rFonts w:ascii="Arial" w:hAnsi="Arial" w:cs="Arial"/>
        </w:rPr>
        <w:t xml:space="preserve">, sin embargo, acaba de hacerse famosa al publicarse en el </w:t>
      </w:r>
      <w:proofErr w:type="spellStart"/>
      <w:r w:rsidRPr="00142952">
        <w:rPr>
          <w:rFonts w:ascii="Arial" w:hAnsi="Arial" w:cs="Arial"/>
        </w:rPr>
        <w:t>BOE</w:t>
      </w:r>
      <w:proofErr w:type="spellEnd"/>
      <w:r w:rsidRPr="00142952">
        <w:rPr>
          <w:rFonts w:ascii="Arial" w:hAnsi="Arial" w:cs="Arial"/>
        </w:rPr>
        <w:t xml:space="preserve"> de día 17 de febrero la sanción firme por vía administrativa de dieciséis millones novecientos mil euros, </w:t>
      </w:r>
      <w:r w:rsidRPr="00142952">
        <w:rPr>
          <w:rFonts w:ascii="Arial" w:hAnsi="Arial" w:cs="Arial"/>
        </w:rPr>
        <w:lastRenderedPageBreak/>
        <w:t>por infracción muy grave en base al incumplimiento de varios artículos de la Ley del Mercado de Valores:</w:t>
      </w:r>
    </w:p>
    <w:p w:rsidR="008A7BDC" w:rsidRPr="00142952" w:rsidRDefault="008A7BDC" w:rsidP="008A7BDC">
      <w:pPr>
        <w:spacing w:before="100" w:beforeAutospacing="1" w:after="100" w:afterAutospacing="1"/>
        <w:jc w:val="both"/>
        <w:rPr>
          <w:rFonts w:ascii="Arial" w:hAnsi="Arial" w:cs="Arial"/>
        </w:rPr>
      </w:pPr>
      <w:r w:rsidRPr="00142952">
        <w:rPr>
          <w:rFonts w:ascii="Arial" w:hAnsi="Arial" w:cs="Arial"/>
        </w:rPr>
        <w:t xml:space="preserve">El 70 </w:t>
      </w:r>
      <w:proofErr w:type="spellStart"/>
      <w:r w:rsidRPr="00142952">
        <w:rPr>
          <w:rFonts w:ascii="Arial" w:hAnsi="Arial" w:cs="Arial"/>
        </w:rPr>
        <w:t>quáter</w:t>
      </w:r>
      <w:proofErr w:type="spellEnd"/>
      <w:r w:rsidRPr="00142952">
        <w:rPr>
          <w:rFonts w:ascii="Arial" w:hAnsi="Arial" w:cs="Arial"/>
        </w:rPr>
        <w:t>, que hace referencia a los conflictos de intereses que pueden surgir entre los clientes y los empleados del banco, y como el banco debe velar para controlar esas situaciones, a través de diferentes medidas.</w:t>
      </w:r>
    </w:p>
    <w:p w:rsidR="008A7BDC" w:rsidRPr="00142952" w:rsidRDefault="008A7BDC" w:rsidP="008A7BDC">
      <w:pPr>
        <w:spacing w:before="100" w:beforeAutospacing="1" w:after="100" w:afterAutospacing="1"/>
        <w:jc w:val="both"/>
        <w:rPr>
          <w:rFonts w:ascii="Arial" w:hAnsi="Arial" w:cs="Arial"/>
        </w:rPr>
      </w:pPr>
      <w:r w:rsidRPr="00142952">
        <w:rPr>
          <w:rFonts w:ascii="Arial" w:hAnsi="Arial" w:cs="Arial"/>
        </w:rPr>
        <w:t>El 79 bis, que trata el principio de información. Al no estar el cliente no en una situación de igualdad con la entidad, el banco debe suministrar la información suficiente para la comprensión del cliente, sobre los productos y actuaciones.</w:t>
      </w:r>
    </w:p>
    <w:p w:rsidR="008A7BDC" w:rsidRPr="00142952" w:rsidRDefault="008A7BDC" w:rsidP="008A7BDC">
      <w:pPr>
        <w:spacing w:before="100" w:beforeAutospacing="1" w:after="100" w:afterAutospacing="1"/>
        <w:jc w:val="both"/>
        <w:rPr>
          <w:rFonts w:ascii="Arial" w:hAnsi="Arial" w:cs="Arial"/>
        </w:rPr>
      </w:pPr>
    </w:p>
    <w:p w:rsidR="008A7BDC" w:rsidRPr="00142952" w:rsidRDefault="008A7BDC" w:rsidP="008A7BDC">
      <w:pPr>
        <w:spacing w:before="100" w:beforeAutospacing="1" w:after="100" w:afterAutospacing="1"/>
        <w:jc w:val="both"/>
        <w:rPr>
          <w:rFonts w:ascii="Arial" w:hAnsi="Arial" w:cs="Arial"/>
        </w:rPr>
      </w:pPr>
      <w:r w:rsidRPr="00142952">
        <w:rPr>
          <w:rFonts w:ascii="Arial" w:hAnsi="Arial" w:cs="Arial"/>
        </w:rPr>
        <w:t>Resumiendo, el banco debe velar por el dinero del cliente como si fuera propio.</w:t>
      </w:r>
    </w:p>
    <w:p w:rsidR="008A7BDC" w:rsidRPr="00142952" w:rsidRDefault="008A7BDC" w:rsidP="008A7BDC">
      <w:pPr>
        <w:spacing w:before="100" w:beforeAutospacing="1" w:after="100" w:afterAutospacing="1"/>
        <w:jc w:val="both"/>
        <w:rPr>
          <w:rFonts w:ascii="Arial" w:hAnsi="Arial" w:cs="Arial"/>
        </w:rPr>
      </w:pPr>
      <w:r w:rsidRPr="00142952">
        <w:rPr>
          <w:rFonts w:ascii="Arial" w:hAnsi="Arial" w:cs="Arial"/>
        </w:rPr>
        <w:t>Unos dirán que el Santander hizo bien haciendo cumplir sus contratos y sin compensar de alguna manera las pérdidas ocasionadas. Es una postura defendible. Yo solo daré mi opinión: Pedir prestado dinero a los clientes para especular o invertir y, después, devolverles menos dinero del recibido, no parece una buena señal de los valores  que quiere transmitir un banco. Es solo mi opinión personal, señor Botín.</w:t>
      </w:r>
    </w:p>
    <w:p w:rsidR="008A7BDC" w:rsidRPr="00142952" w:rsidRDefault="008A7BDC" w:rsidP="008A7BDC">
      <w:pPr>
        <w:pStyle w:val="Ttulo2"/>
        <w:jc w:val="both"/>
        <w:rPr>
          <w:rFonts w:ascii="Arial" w:hAnsi="Arial" w:cs="Arial"/>
          <w:sz w:val="24"/>
          <w:szCs w:val="24"/>
        </w:rPr>
      </w:pPr>
      <w:r w:rsidRPr="00142952">
        <w:rPr>
          <w:rFonts w:ascii="Arial" w:hAnsi="Arial" w:cs="Arial"/>
          <w:sz w:val="24"/>
          <w:szCs w:val="24"/>
        </w:rPr>
        <w:t xml:space="preserve">¿Afectado por los </w:t>
      </w:r>
      <w:r w:rsidRPr="00142952">
        <w:rPr>
          <w:rStyle w:val="Textoennegrita"/>
          <w:rFonts w:ascii="Arial" w:hAnsi="Arial" w:cs="Arial"/>
          <w:sz w:val="24"/>
          <w:szCs w:val="24"/>
        </w:rPr>
        <w:t>Valores Santander? Recupere su dinero.</w:t>
      </w:r>
      <w:r w:rsidRPr="00142952">
        <w:rPr>
          <w:rFonts w:ascii="Arial" w:hAnsi="Arial" w:cs="Arial"/>
          <w:sz w:val="24"/>
          <w:szCs w:val="24"/>
        </w:rPr>
        <w:t> Representamos a una gran cantidad de afectados por los </w:t>
      </w:r>
      <w:r w:rsidRPr="00142952">
        <w:rPr>
          <w:rStyle w:val="Textoennegrita"/>
          <w:rFonts w:ascii="Arial" w:hAnsi="Arial" w:cs="Arial"/>
          <w:sz w:val="24"/>
          <w:szCs w:val="24"/>
        </w:rPr>
        <w:t>Valores Santander</w:t>
      </w:r>
      <w:r w:rsidRPr="00142952">
        <w:rPr>
          <w:rFonts w:ascii="Arial" w:hAnsi="Arial" w:cs="Arial"/>
          <w:sz w:val="24"/>
          <w:szCs w:val="24"/>
        </w:rPr>
        <w:t> en el proceso penal. Por ello, estamos al tanto de la actualidad de la causa y sabemos que su dinero es 100 % recuperable.</w:t>
      </w:r>
    </w:p>
    <w:p w:rsidR="008A7BDC" w:rsidRPr="00142952" w:rsidRDefault="008A7BDC" w:rsidP="008A7BDC">
      <w:pPr>
        <w:pStyle w:val="NormalWeb"/>
        <w:jc w:val="both"/>
        <w:rPr>
          <w:rFonts w:ascii="Arial" w:hAnsi="Arial" w:cs="Arial"/>
        </w:rPr>
      </w:pPr>
      <w:r w:rsidRPr="00142952">
        <w:rPr>
          <w:rFonts w:ascii="Arial" w:hAnsi="Arial" w:cs="Arial"/>
        </w:rPr>
        <w:t>Estudiaremos su caso y le plantearemos, de forma individualizada, la mejor opción para usted; personarse en el proceso penal o demandar en vía civil. En cualquiera de las situaciones, usted podrá recuperar su dinero.</w:t>
      </w:r>
    </w:p>
    <w:p w:rsidR="008A7BDC" w:rsidRPr="00142952" w:rsidRDefault="008A7BDC" w:rsidP="008A7BDC">
      <w:pPr>
        <w:pStyle w:val="NormalWeb"/>
        <w:jc w:val="both"/>
        <w:rPr>
          <w:rFonts w:ascii="Arial" w:hAnsi="Arial" w:cs="Arial"/>
        </w:rPr>
      </w:pPr>
      <w:r w:rsidRPr="00142952">
        <w:rPr>
          <w:rFonts w:ascii="Arial" w:hAnsi="Arial" w:cs="Arial"/>
        </w:rPr>
        <w:t>Además, al asignarnos su caso, </w:t>
      </w:r>
      <w:r w:rsidRPr="00142952">
        <w:rPr>
          <w:rStyle w:val="Textoennegrita"/>
          <w:rFonts w:ascii="Arial" w:hAnsi="Arial" w:cs="Arial"/>
        </w:rPr>
        <w:t>usted no tendrá que abonar ninguna cantidad a lo largo de todo el procedimiento.</w:t>
      </w:r>
      <w:r w:rsidRPr="00142952">
        <w:rPr>
          <w:rFonts w:ascii="Arial" w:hAnsi="Arial" w:cs="Arial"/>
        </w:rPr>
        <w:t> En el momento en el que la sentencia resulte favorable, y el banco le abone la cantidad pendiente, nosotros deduciremos nuestros honorarios.</w:t>
      </w:r>
    </w:p>
    <w:p w:rsidR="008A7BDC" w:rsidRPr="00142952" w:rsidRDefault="009E352D" w:rsidP="008A7BDC">
      <w:pPr>
        <w:pStyle w:val="NormalWeb"/>
        <w:jc w:val="both"/>
        <w:rPr>
          <w:rFonts w:ascii="Arial" w:hAnsi="Arial" w:cs="Arial"/>
        </w:rPr>
      </w:pPr>
      <w:hyperlink r:id="rId8" w:history="1">
        <w:r w:rsidR="008A7BDC" w:rsidRPr="00142952">
          <w:rPr>
            <w:rStyle w:val="Hipervnculo"/>
            <w:rFonts w:ascii="Arial" w:hAnsi="Arial" w:cs="Arial"/>
            <w:b/>
            <w:bCs/>
            <w:color w:val="auto"/>
            <w:u w:val="none"/>
          </w:rPr>
          <w:t>TRES CLAVES DE ÉXITO EN EL CASO DE LOS AFECTADOS POR LOS VALORES SANTANDER</w:t>
        </w:r>
      </w:hyperlink>
      <w:r w:rsidR="008A7BDC" w:rsidRPr="00142952">
        <w:rPr>
          <w:rStyle w:val="Textoennegrita"/>
          <w:rFonts w:ascii="Arial" w:hAnsi="Arial" w:cs="Arial"/>
        </w:rPr>
        <w:t>:</w:t>
      </w:r>
    </w:p>
    <w:p w:rsidR="008A7BDC" w:rsidRPr="00142952" w:rsidRDefault="008A7BDC" w:rsidP="008A7BDC">
      <w:pPr>
        <w:numPr>
          <w:ilvl w:val="0"/>
          <w:numId w:val="45"/>
        </w:numPr>
        <w:spacing w:before="100" w:beforeAutospacing="1" w:after="100" w:afterAutospacing="1"/>
        <w:jc w:val="both"/>
        <w:rPr>
          <w:rFonts w:ascii="Arial" w:hAnsi="Arial" w:cs="Arial"/>
        </w:rPr>
      </w:pPr>
      <w:r w:rsidRPr="00142952">
        <w:rPr>
          <w:rStyle w:val="Textoennegrita"/>
          <w:rFonts w:ascii="Arial" w:hAnsi="Arial" w:cs="Arial"/>
        </w:rPr>
        <w:t>7.000 millones de euros</w:t>
      </w:r>
      <w:r w:rsidRPr="00142952">
        <w:rPr>
          <w:rFonts w:ascii="Arial" w:hAnsi="Arial" w:cs="Arial"/>
        </w:rPr>
        <w:t> fueron asignados a clientes particulares que, en la mayoría de los casos, no contaban con los conocimientos para entender el funcionamiento de estos productos y para su adquisición.</w:t>
      </w:r>
    </w:p>
    <w:p w:rsidR="008A7BDC" w:rsidRPr="00142952" w:rsidRDefault="008A7BDC" w:rsidP="008A7BDC">
      <w:pPr>
        <w:numPr>
          <w:ilvl w:val="0"/>
          <w:numId w:val="45"/>
        </w:numPr>
        <w:spacing w:before="100" w:beforeAutospacing="1" w:after="100" w:afterAutospacing="1"/>
        <w:jc w:val="both"/>
        <w:rPr>
          <w:rFonts w:ascii="Arial" w:hAnsi="Arial" w:cs="Arial"/>
        </w:rPr>
      </w:pPr>
      <w:r w:rsidRPr="00142952">
        <w:rPr>
          <w:rStyle w:val="Textoennegrita"/>
          <w:rFonts w:ascii="Arial" w:hAnsi="Arial" w:cs="Arial"/>
        </w:rPr>
        <w:t>129 mil afectados </w:t>
      </w:r>
      <w:r w:rsidRPr="00142952">
        <w:rPr>
          <w:rFonts w:ascii="Arial" w:hAnsi="Arial" w:cs="Arial"/>
        </w:rPr>
        <w:t xml:space="preserve">aceptaron este producto financiero como una inversión en renta fija, con un vencimiento en el año 2012; fecha en la </w:t>
      </w:r>
      <w:r w:rsidRPr="00142952">
        <w:rPr>
          <w:rFonts w:ascii="Arial" w:hAnsi="Arial" w:cs="Arial"/>
        </w:rPr>
        <w:lastRenderedPageBreak/>
        <w:t>que se convirtieron en acciones del Banco Santander, a un precio superior al del mercado, generando pérdidas de hasta el 55 % del dinero invertido por los clientes.</w:t>
      </w:r>
    </w:p>
    <w:p w:rsidR="008A7BDC" w:rsidRPr="00142952" w:rsidRDefault="008A7BDC" w:rsidP="008A7BDC">
      <w:pPr>
        <w:numPr>
          <w:ilvl w:val="0"/>
          <w:numId w:val="45"/>
        </w:numPr>
        <w:spacing w:before="100" w:beforeAutospacing="1" w:after="100" w:afterAutospacing="1"/>
        <w:jc w:val="both"/>
        <w:rPr>
          <w:rFonts w:ascii="Arial" w:hAnsi="Arial" w:cs="Arial"/>
        </w:rPr>
      </w:pPr>
      <w:r w:rsidRPr="00142952">
        <w:rPr>
          <w:rFonts w:ascii="Arial" w:hAnsi="Arial" w:cs="Arial"/>
        </w:rPr>
        <w:t>Existen </w:t>
      </w:r>
      <w:r w:rsidRPr="00142952">
        <w:rPr>
          <w:rStyle w:val="Textoennegrita"/>
          <w:rFonts w:ascii="Arial" w:hAnsi="Arial" w:cs="Arial"/>
        </w:rPr>
        <w:t xml:space="preserve">sanciones de la </w:t>
      </w:r>
      <w:proofErr w:type="spellStart"/>
      <w:r w:rsidRPr="00142952">
        <w:rPr>
          <w:rStyle w:val="Textoennegrita"/>
          <w:rFonts w:ascii="Arial" w:hAnsi="Arial" w:cs="Arial"/>
        </w:rPr>
        <w:t>CNMV</w:t>
      </w:r>
      <w:proofErr w:type="spellEnd"/>
      <w:r w:rsidRPr="00142952">
        <w:rPr>
          <w:rFonts w:ascii="Arial" w:hAnsi="Arial" w:cs="Arial"/>
        </w:rPr>
        <w:t> y está abierto un proceso penal que indican que la comercialización de los Valores Santander fue fraudulenta.</w:t>
      </w:r>
    </w:p>
    <w:p w:rsidR="008A7BDC" w:rsidRPr="00142952" w:rsidRDefault="008A7BDC" w:rsidP="008A7BDC">
      <w:pPr>
        <w:pStyle w:val="NormalWeb"/>
        <w:jc w:val="both"/>
        <w:rPr>
          <w:rFonts w:ascii="Arial" w:hAnsi="Arial" w:cs="Arial"/>
        </w:rPr>
      </w:pPr>
      <w:r w:rsidRPr="00142952">
        <w:rPr>
          <w:rFonts w:ascii="Arial" w:hAnsi="Arial" w:cs="Arial"/>
        </w:rPr>
        <w:t>Si desea conocer con más profundidad cómo funcionaron los Valores Santander, </w:t>
      </w:r>
      <w:hyperlink r:id="rId9" w:tgtFrame="_blank" w:history="1">
        <w:r w:rsidRPr="00142952">
          <w:rPr>
            <w:rStyle w:val="Hipervnculo"/>
            <w:rFonts w:ascii="Arial" w:hAnsi="Arial" w:cs="Arial"/>
            <w:color w:val="auto"/>
            <w:u w:val="none"/>
          </w:rPr>
          <w:t>en este enlace</w:t>
        </w:r>
      </w:hyperlink>
      <w:r w:rsidRPr="00142952">
        <w:rPr>
          <w:rFonts w:ascii="Arial" w:hAnsi="Arial" w:cs="Arial"/>
        </w:rPr>
        <w:t> hacemos un recorrido histórico y le explicamos cómo se gestó este producto financiero.</w:t>
      </w:r>
    </w:p>
    <w:p w:rsidR="008A7BDC" w:rsidRPr="00142952" w:rsidRDefault="008A7BDC" w:rsidP="008A7BDC">
      <w:pPr>
        <w:pStyle w:val="NormalWeb"/>
        <w:jc w:val="both"/>
        <w:rPr>
          <w:rFonts w:ascii="Arial" w:hAnsi="Arial" w:cs="Arial"/>
        </w:rPr>
      </w:pPr>
      <w:r w:rsidRPr="00142952">
        <w:rPr>
          <w:rStyle w:val="Textoennegrita"/>
          <w:rFonts w:ascii="Arial" w:hAnsi="Arial" w:cs="Arial"/>
        </w:rPr>
        <w:t xml:space="preserve"> </w:t>
      </w:r>
    </w:p>
    <w:p w:rsidR="008A7BDC" w:rsidRPr="00142952" w:rsidRDefault="008A7BDC" w:rsidP="008A7BDC">
      <w:pPr>
        <w:spacing w:before="100" w:beforeAutospacing="1" w:after="100" w:afterAutospacing="1"/>
        <w:jc w:val="both"/>
        <w:outlineLvl w:val="0"/>
        <w:rPr>
          <w:rFonts w:ascii="Arial" w:hAnsi="Arial" w:cs="Arial"/>
          <w:b/>
          <w:bCs/>
          <w:kern w:val="36"/>
        </w:rPr>
      </w:pPr>
      <w:r w:rsidRPr="00142952">
        <w:rPr>
          <w:rFonts w:ascii="Arial" w:hAnsi="Arial" w:cs="Arial"/>
          <w:b/>
          <w:bCs/>
          <w:kern w:val="36"/>
        </w:rPr>
        <w:t>La Audiencia falla a favor de una afectada por los Valores Santander</w:t>
      </w:r>
    </w:p>
    <w:p w:rsidR="008A7BDC" w:rsidRPr="00142952" w:rsidRDefault="008A7BDC" w:rsidP="008A7BDC">
      <w:pPr>
        <w:spacing w:before="100" w:beforeAutospacing="1" w:after="100" w:afterAutospacing="1"/>
        <w:jc w:val="both"/>
        <w:rPr>
          <w:rFonts w:ascii="Arial" w:hAnsi="Arial" w:cs="Arial"/>
        </w:rPr>
      </w:pPr>
      <w:r w:rsidRPr="00142952">
        <w:rPr>
          <w:rFonts w:ascii="Arial" w:hAnsi="Arial" w:cs="Arial"/>
        </w:rPr>
        <w:t>Es la primera sentencia de la Audiencia de Castellón que condena por Valores Santander, por tanto estamos ante una sentencia pionera</w:t>
      </w:r>
    </w:p>
    <w:p w:rsidR="008A7BDC" w:rsidRPr="00142952" w:rsidRDefault="008A7BDC" w:rsidP="008A7BDC">
      <w:pPr>
        <w:jc w:val="both"/>
        <w:rPr>
          <w:rFonts w:ascii="Arial" w:hAnsi="Arial" w:cs="Arial"/>
        </w:rPr>
      </w:pPr>
      <w:r w:rsidRPr="00142952">
        <w:rPr>
          <w:rFonts w:ascii="Arial" w:hAnsi="Arial" w:cs="Arial"/>
        </w:rPr>
        <w:t xml:space="preserve">La sección tercera de la Audiencia Provincial de Castellón </w:t>
      </w:r>
      <w:r w:rsidRPr="00142952">
        <w:rPr>
          <w:rFonts w:ascii="Arial" w:hAnsi="Arial" w:cs="Arial"/>
          <w:b/>
          <w:bCs/>
        </w:rPr>
        <w:t>ha condenado al Banco Santander a devolver los 40.000 euros</w:t>
      </w:r>
      <w:r w:rsidRPr="00142952">
        <w:rPr>
          <w:rFonts w:ascii="Arial" w:hAnsi="Arial" w:cs="Arial"/>
        </w:rPr>
        <w:t xml:space="preserve"> que un cliente invirtió en el año 2007, con sus respectivos intereses legales. La Audiencia de Castellón afirma que los Valores Santander son un producto complejo y de riesgo, conteniendo el tríptico una información sesgada e interesada en la que no se advierte de los riesgos del producto. No compartiendo los argumentos del juzgado de primera instancia </w:t>
      </w:r>
      <w:proofErr w:type="spellStart"/>
      <w:r w:rsidRPr="00142952">
        <w:rPr>
          <w:rFonts w:ascii="Arial" w:hAnsi="Arial" w:cs="Arial"/>
        </w:rPr>
        <w:t>nº1</w:t>
      </w:r>
      <w:proofErr w:type="spellEnd"/>
      <w:r w:rsidRPr="00142952">
        <w:rPr>
          <w:rFonts w:ascii="Arial" w:hAnsi="Arial" w:cs="Arial"/>
        </w:rPr>
        <w:t xml:space="preserve"> de Castellón, quien desestimó la demanda al manifestar que el demandante era un experto inversor al trabajar como contable en una empresa del sector cerámico, conclusión que la Audiencia Provincial de Castellón no comparte.</w:t>
      </w:r>
    </w:p>
    <w:p w:rsidR="008A7BDC" w:rsidRPr="00142952" w:rsidRDefault="008A7BDC" w:rsidP="008A7BDC">
      <w:pPr>
        <w:spacing w:before="100" w:beforeAutospacing="1" w:after="100" w:afterAutospacing="1"/>
        <w:jc w:val="both"/>
        <w:rPr>
          <w:rFonts w:ascii="Arial" w:hAnsi="Arial" w:cs="Arial"/>
        </w:rPr>
      </w:pPr>
      <w:r w:rsidRPr="00142952">
        <w:rPr>
          <w:rFonts w:ascii="Arial" w:hAnsi="Arial" w:cs="Arial"/>
        </w:rPr>
        <w:t>Desde el despacho que ha representado a la demandante, Ortega y García Abogados, se ha manifestado que dicha</w:t>
      </w:r>
      <w:r w:rsidRPr="00142952">
        <w:rPr>
          <w:rFonts w:ascii="Arial" w:hAnsi="Arial" w:cs="Arial"/>
          <w:b/>
          <w:bCs/>
        </w:rPr>
        <w:t xml:space="preserve"> sentencia crea un precedente muy importante para los afectados de Valores Santander</w:t>
      </w:r>
      <w:r w:rsidRPr="00142952">
        <w:rPr>
          <w:rFonts w:ascii="Arial" w:hAnsi="Arial" w:cs="Arial"/>
        </w:rPr>
        <w:t xml:space="preserve">, que demanden en Castellón, la que la citada Audiencia recoge que es de aplicación, la doctrina del Supremo referente a Preferentes y Swaps, por indicar la Audiencia que los Valores tienen similar complejidad. </w:t>
      </w:r>
    </w:p>
    <w:p w:rsidR="008A7BDC" w:rsidRPr="00142952" w:rsidRDefault="008A7BDC" w:rsidP="008A7BDC">
      <w:pPr>
        <w:spacing w:before="100" w:beforeAutospacing="1" w:after="100" w:afterAutospacing="1"/>
        <w:jc w:val="both"/>
        <w:rPr>
          <w:rFonts w:ascii="Arial" w:hAnsi="Arial" w:cs="Arial"/>
        </w:rPr>
      </w:pPr>
      <w:r w:rsidRPr="00142952">
        <w:rPr>
          <w:rFonts w:ascii="Arial" w:hAnsi="Arial" w:cs="Arial"/>
        </w:rPr>
        <w:t>Es la primera sentencia de la Audiencia Provincial de Castellón que condena por Valores Santander, por tanto estamos ante una sentencia pionera que anima a los afectados por Valores que residan en Castellón a demandar, ya que los</w:t>
      </w:r>
      <w:r w:rsidRPr="00142952">
        <w:rPr>
          <w:rFonts w:ascii="Arial" w:hAnsi="Arial" w:cs="Arial"/>
          <w:b/>
          <w:bCs/>
        </w:rPr>
        <w:t xml:space="preserve"> juzgados de primera instancia de Castellón tendrán que acatar lo que diga la Audiencia</w:t>
      </w:r>
      <w:r w:rsidRPr="00142952">
        <w:rPr>
          <w:rFonts w:ascii="Arial" w:hAnsi="Arial" w:cs="Arial"/>
        </w:rPr>
        <w:t xml:space="preserve">, entre ellos el juzgado de primera instancia </w:t>
      </w:r>
      <w:proofErr w:type="spellStart"/>
      <w:r w:rsidRPr="00142952">
        <w:rPr>
          <w:rFonts w:ascii="Arial" w:hAnsi="Arial" w:cs="Arial"/>
        </w:rPr>
        <w:t>nº1</w:t>
      </w:r>
      <w:proofErr w:type="spellEnd"/>
      <w:r w:rsidRPr="00142952">
        <w:rPr>
          <w:rFonts w:ascii="Arial" w:hAnsi="Arial" w:cs="Arial"/>
        </w:rPr>
        <w:t xml:space="preserve"> de Castellón quien desestimó la demanda en primera instancia, con fundamentos claramente errados.</w:t>
      </w:r>
    </w:p>
    <w:p w:rsidR="008A7BDC" w:rsidRDefault="008A7BDC" w:rsidP="008A7BDC">
      <w:pPr>
        <w:jc w:val="both"/>
        <w:rPr>
          <w:rFonts w:ascii="Arial" w:hAnsi="Arial" w:cs="Arial"/>
        </w:rPr>
      </w:pPr>
      <w:r w:rsidRPr="00142952">
        <w:rPr>
          <w:rFonts w:ascii="Arial" w:hAnsi="Arial" w:cs="Arial"/>
        </w:rPr>
        <w:lastRenderedPageBreak/>
        <w:t>Te informamos sobre los valores Santander.    Definición del producto:     Los valores del Santander son un producto financiero que se comercializó desde septiembre de 2007 y que tenían un vencimiento hasta el 4 de octubre de 2012. Su naturaleza era la de una obligación o contracto por el cual se invertía un principal con la condición de convertirse en acciones del Banco Santander a un precio fijado en su contratación. El cliente no contrata un bono o un plazo fijo simple por el cual se ofrece un 7,5% de interés T.A.E. fijo y después una remuneración de Euribor +2,75, como “aparentemente decía su publicidad”. Lo que se contrata es una compra de acciones a futuro al valor de la acción en el momento de la conversión.</w:t>
      </w:r>
    </w:p>
    <w:p w:rsidR="003B73B3" w:rsidRPr="00142952" w:rsidRDefault="003B73B3" w:rsidP="008A7BDC">
      <w:pPr>
        <w:jc w:val="both"/>
        <w:rPr>
          <w:rFonts w:ascii="Arial" w:hAnsi="Arial" w:cs="Arial"/>
        </w:rPr>
      </w:pPr>
    </w:p>
    <w:p w:rsidR="008A7BDC" w:rsidRDefault="008A7BDC" w:rsidP="008A7BDC">
      <w:pPr>
        <w:jc w:val="both"/>
        <w:rPr>
          <w:rFonts w:ascii="Arial" w:hAnsi="Arial" w:cs="Arial"/>
        </w:rPr>
      </w:pPr>
      <w:r w:rsidRPr="00142952">
        <w:rPr>
          <w:rFonts w:ascii="Arial" w:hAnsi="Arial" w:cs="Arial"/>
        </w:rPr>
        <w:t xml:space="preserve">    ¿Por qué los valores Santander son reclamables?     Si te vendieron valores Santander como un simple depósito a plazo fijo o como una inversión en la que te aseguraban el valor de lo invertido, se puede declarar la nulidad del contrato. Pues no son un depósito, ni un plazo fijo. Son un producto de alto riesgo que, de no superar los test de conveniencia e idoneidad suponen la nulidad de la compra.</w:t>
      </w:r>
    </w:p>
    <w:p w:rsidR="003B73B3" w:rsidRPr="00142952" w:rsidRDefault="003B73B3" w:rsidP="008A7BDC">
      <w:pPr>
        <w:jc w:val="both"/>
        <w:rPr>
          <w:rFonts w:ascii="Arial" w:hAnsi="Arial" w:cs="Arial"/>
        </w:rPr>
      </w:pPr>
    </w:p>
    <w:p w:rsidR="008A7BDC" w:rsidRDefault="008A7BDC" w:rsidP="008A7BDC">
      <w:pPr>
        <w:jc w:val="both"/>
        <w:rPr>
          <w:rFonts w:ascii="Arial" w:hAnsi="Arial" w:cs="Arial"/>
        </w:rPr>
      </w:pPr>
      <w:r w:rsidRPr="00142952">
        <w:rPr>
          <w:rFonts w:ascii="Arial" w:hAnsi="Arial" w:cs="Arial"/>
        </w:rPr>
        <w:t xml:space="preserve">    ¿Quién puede reclamar, hasta cuándo y cómo? Cualquier persona física o jurídica que suscribiera valores del Santander desde el año 2007 puede reclamar. El plazo máximo para reclamar es de 4 años desde el canje de los valores por acciones del Santander (que tuvo lugar en octubre del 2012), es decir, hasta octubre de 2016. Debido a que no existe la posibilidad de mediar con el banco ni la opción de intentar algún tipo de demanda previa, la única vía de reclamación es la judicial.</w:t>
      </w:r>
    </w:p>
    <w:p w:rsidR="003B73B3" w:rsidRPr="00142952" w:rsidRDefault="003B73B3" w:rsidP="008A7BDC">
      <w:pPr>
        <w:jc w:val="both"/>
        <w:rPr>
          <w:rFonts w:ascii="Arial" w:hAnsi="Arial" w:cs="Arial"/>
        </w:rPr>
      </w:pPr>
    </w:p>
    <w:p w:rsidR="008A7BDC" w:rsidRPr="00142952" w:rsidRDefault="008A7BDC" w:rsidP="008A7BDC">
      <w:pPr>
        <w:jc w:val="both"/>
        <w:rPr>
          <w:rFonts w:ascii="Arial" w:hAnsi="Arial" w:cs="Arial"/>
        </w:rPr>
      </w:pPr>
      <w:r w:rsidRPr="00142952">
        <w:rPr>
          <w:rFonts w:ascii="Arial" w:hAnsi="Arial" w:cs="Arial"/>
        </w:rPr>
        <w:t xml:space="preserve">    Posibilidades de recuperar tu dinero. Desde reclamador solicitamos la nulidad del contrato de compra de Valores del Santander, por lo que la consecuencia inmediata es la restitución mutua de los efectos del contrato.</w:t>
      </w:r>
    </w:p>
    <w:p w:rsidR="008A7BDC" w:rsidRPr="00142952" w:rsidRDefault="008A7BDC" w:rsidP="008A7BDC">
      <w:pPr>
        <w:jc w:val="both"/>
        <w:rPr>
          <w:rFonts w:ascii="Arial" w:hAnsi="Arial" w:cs="Arial"/>
        </w:rPr>
      </w:pPr>
    </w:p>
    <w:p w:rsidR="008A7BDC" w:rsidRPr="00142952" w:rsidRDefault="008A7BDC" w:rsidP="008A7BDC">
      <w:pPr>
        <w:jc w:val="both"/>
        <w:rPr>
          <w:rFonts w:ascii="Arial" w:hAnsi="Arial" w:cs="Arial"/>
        </w:rPr>
      </w:pPr>
      <w:r w:rsidRPr="00142952">
        <w:rPr>
          <w:rFonts w:ascii="Arial" w:hAnsi="Arial" w:cs="Arial"/>
        </w:rPr>
        <w:t xml:space="preserve">    Así pues, la reclamación supondrá:</w:t>
      </w:r>
    </w:p>
    <w:p w:rsidR="008A7BDC" w:rsidRPr="00142952" w:rsidRDefault="008A7BDC" w:rsidP="008A7BDC">
      <w:pPr>
        <w:jc w:val="both"/>
        <w:rPr>
          <w:rFonts w:ascii="Arial" w:hAnsi="Arial" w:cs="Arial"/>
        </w:rPr>
      </w:pPr>
      <w:r w:rsidRPr="00142952">
        <w:rPr>
          <w:rFonts w:ascii="Arial" w:hAnsi="Arial" w:cs="Arial"/>
        </w:rPr>
        <w:t xml:space="preserve">        La devolución de la cantidad invertida.</w:t>
      </w:r>
    </w:p>
    <w:p w:rsidR="008A7BDC" w:rsidRPr="00142952" w:rsidRDefault="008A7BDC" w:rsidP="008A7BDC">
      <w:pPr>
        <w:jc w:val="both"/>
        <w:rPr>
          <w:rFonts w:ascii="Arial" w:hAnsi="Arial" w:cs="Arial"/>
        </w:rPr>
      </w:pPr>
      <w:r w:rsidRPr="00142952">
        <w:rPr>
          <w:rFonts w:ascii="Arial" w:hAnsi="Arial" w:cs="Arial"/>
        </w:rPr>
        <w:t xml:space="preserve">        Indemnización por pérdidas patrimoniales.</w:t>
      </w:r>
    </w:p>
    <w:p w:rsidR="008A7BDC" w:rsidRPr="00142952" w:rsidRDefault="008A7BDC" w:rsidP="008A7BDC">
      <w:pPr>
        <w:jc w:val="both"/>
        <w:rPr>
          <w:rFonts w:ascii="Arial" w:hAnsi="Arial" w:cs="Arial"/>
        </w:rPr>
      </w:pPr>
      <w:r w:rsidRPr="00142952">
        <w:rPr>
          <w:rFonts w:ascii="Arial" w:hAnsi="Arial" w:cs="Arial"/>
        </w:rPr>
        <w:t xml:space="preserve">        Daños y perjuicios.</w:t>
      </w:r>
    </w:p>
    <w:p w:rsidR="008A7BDC" w:rsidRDefault="008A7BDC" w:rsidP="008A7BDC">
      <w:pPr>
        <w:jc w:val="both"/>
        <w:rPr>
          <w:rFonts w:ascii="Arial" w:hAnsi="Arial" w:cs="Arial"/>
        </w:rPr>
      </w:pPr>
      <w:r w:rsidRPr="00142952">
        <w:rPr>
          <w:rFonts w:ascii="Arial" w:hAnsi="Arial" w:cs="Arial"/>
        </w:rPr>
        <w:t xml:space="preserve">        Lucro cesante.</w:t>
      </w:r>
    </w:p>
    <w:p w:rsidR="003B73B3" w:rsidRPr="00142952" w:rsidRDefault="003B73B3" w:rsidP="008A7BDC">
      <w:pPr>
        <w:jc w:val="both"/>
        <w:rPr>
          <w:rFonts w:ascii="Arial" w:hAnsi="Arial" w:cs="Arial"/>
        </w:rPr>
      </w:pPr>
    </w:p>
    <w:p w:rsidR="008A7BDC" w:rsidRPr="00142952" w:rsidRDefault="008A7BDC" w:rsidP="008A7BDC">
      <w:pPr>
        <w:jc w:val="both"/>
        <w:rPr>
          <w:rFonts w:ascii="Arial" w:hAnsi="Arial" w:cs="Arial"/>
        </w:rPr>
      </w:pPr>
      <w:r w:rsidRPr="00142952">
        <w:rPr>
          <w:rFonts w:ascii="Arial" w:hAnsi="Arial" w:cs="Arial"/>
        </w:rPr>
        <w:t xml:space="preserve">    ¿Qué ocurrió tras el vencimiento del producto? El precio de canje final de los valores de Santander es de 12,96€/acción, cuando actualmente el valor cotiza a 6€/acción, lo que quiere decir que el suscriptor es convertido en accionista, el cual coloca acciones a un precio mucho mayor que el de mercado.</w:t>
      </w:r>
    </w:p>
    <w:p w:rsidR="008A7BDC" w:rsidRPr="00142952" w:rsidRDefault="008A7BDC" w:rsidP="008A7BDC">
      <w:pPr>
        <w:jc w:val="both"/>
        <w:rPr>
          <w:rFonts w:ascii="Arial" w:hAnsi="Arial" w:cs="Arial"/>
        </w:rPr>
      </w:pPr>
    </w:p>
    <w:p w:rsidR="008A7BDC" w:rsidRPr="00142952" w:rsidRDefault="008A7BDC" w:rsidP="008A7BDC">
      <w:pPr>
        <w:jc w:val="both"/>
        <w:rPr>
          <w:rFonts w:ascii="Arial" w:hAnsi="Arial" w:cs="Arial"/>
        </w:rPr>
      </w:pPr>
      <w:r w:rsidRPr="00142952">
        <w:rPr>
          <w:rFonts w:ascii="Arial" w:hAnsi="Arial" w:cs="Arial"/>
        </w:rPr>
        <w:t xml:space="preserve">    Ejemplo:</w:t>
      </w:r>
    </w:p>
    <w:p w:rsidR="008A7BDC" w:rsidRPr="00142952" w:rsidRDefault="008A7BDC" w:rsidP="008A7BDC">
      <w:pPr>
        <w:jc w:val="both"/>
        <w:rPr>
          <w:rFonts w:ascii="Arial" w:hAnsi="Arial" w:cs="Arial"/>
        </w:rPr>
      </w:pPr>
      <w:r w:rsidRPr="00142952">
        <w:rPr>
          <w:rFonts w:ascii="Arial" w:hAnsi="Arial" w:cs="Arial"/>
        </w:rPr>
        <w:t xml:space="preserve">   </w:t>
      </w:r>
      <w:r w:rsidRPr="00142952">
        <w:rPr>
          <w:rFonts w:ascii="Arial" w:hAnsi="Arial" w:cs="Arial"/>
        </w:rPr>
        <w:tab/>
        <w:t xml:space="preserve"> Inversión Inicial</w:t>
      </w:r>
      <w:r w:rsidRPr="00142952">
        <w:rPr>
          <w:rFonts w:ascii="Arial" w:hAnsi="Arial" w:cs="Arial"/>
        </w:rPr>
        <w:tab/>
        <w:t>10.000 €</w:t>
      </w:r>
    </w:p>
    <w:p w:rsidR="008A7BDC" w:rsidRPr="00142952" w:rsidRDefault="008A7BDC" w:rsidP="008A7BDC">
      <w:pPr>
        <w:jc w:val="both"/>
        <w:rPr>
          <w:rFonts w:ascii="Arial" w:hAnsi="Arial" w:cs="Arial"/>
        </w:rPr>
      </w:pPr>
      <w:r w:rsidRPr="00142952">
        <w:rPr>
          <w:rFonts w:ascii="Arial" w:hAnsi="Arial" w:cs="Arial"/>
        </w:rPr>
        <w:t xml:space="preserve">   </w:t>
      </w:r>
      <w:r w:rsidRPr="00142952">
        <w:rPr>
          <w:rFonts w:ascii="Arial" w:hAnsi="Arial" w:cs="Arial"/>
        </w:rPr>
        <w:tab/>
        <w:t xml:space="preserve"> Valor de Emisión</w:t>
      </w:r>
      <w:r w:rsidRPr="00142952">
        <w:rPr>
          <w:rFonts w:ascii="Arial" w:hAnsi="Arial" w:cs="Arial"/>
        </w:rPr>
        <w:tab/>
        <w:t>12,96 €/a</w:t>
      </w:r>
    </w:p>
    <w:p w:rsidR="008A7BDC" w:rsidRPr="00142952" w:rsidRDefault="008A7BDC" w:rsidP="008A7BDC">
      <w:pPr>
        <w:jc w:val="both"/>
        <w:rPr>
          <w:rFonts w:ascii="Arial" w:hAnsi="Arial" w:cs="Arial"/>
        </w:rPr>
      </w:pPr>
      <w:r w:rsidRPr="00142952">
        <w:rPr>
          <w:rFonts w:ascii="Arial" w:hAnsi="Arial" w:cs="Arial"/>
        </w:rPr>
        <w:lastRenderedPageBreak/>
        <w:t xml:space="preserve">    </w:t>
      </w:r>
      <w:r w:rsidRPr="00142952">
        <w:rPr>
          <w:rFonts w:ascii="Arial" w:hAnsi="Arial" w:cs="Arial"/>
        </w:rPr>
        <w:tab/>
        <w:t>Total acciones adquiridas</w:t>
      </w:r>
      <w:r w:rsidRPr="00142952">
        <w:rPr>
          <w:rFonts w:ascii="Arial" w:hAnsi="Arial" w:cs="Arial"/>
        </w:rPr>
        <w:tab/>
        <w:t xml:space="preserve">772 </w:t>
      </w:r>
      <w:proofErr w:type="spellStart"/>
      <w:r w:rsidRPr="00142952">
        <w:rPr>
          <w:rFonts w:ascii="Arial" w:hAnsi="Arial" w:cs="Arial"/>
        </w:rPr>
        <w:t>acc</w:t>
      </w:r>
      <w:proofErr w:type="spellEnd"/>
      <w:r w:rsidRPr="00142952">
        <w:rPr>
          <w:rFonts w:ascii="Arial" w:hAnsi="Arial" w:cs="Arial"/>
        </w:rPr>
        <w:t>.</w:t>
      </w:r>
    </w:p>
    <w:p w:rsidR="008A7BDC" w:rsidRPr="00142952" w:rsidRDefault="008A7BDC" w:rsidP="008A7BDC">
      <w:pPr>
        <w:jc w:val="both"/>
        <w:rPr>
          <w:rFonts w:ascii="Arial" w:hAnsi="Arial" w:cs="Arial"/>
        </w:rPr>
      </w:pPr>
      <w:r w:rsidRPr="00142952">
        <w:rPr>
          <w:rFonts w:ascii="Arial" w:hAnsi="Arial" w:cs="Arial"/>
        </w:rPr>
        <w:t xml:space="preserve">    </w:t>
      </w:r>
      <w:r w:rsidRPr="00142952">
        <w:rPr>
          <w:rFonts w:ascii="Arial" w:hAnsi="Arial" w:cs="Arial"/>
        </w:rPr>
        <w:tab/>
        <w:t>Valor actual acción</w:t>
      </w:r>
      <w:r w:rsidRPr="00142952">
        <w:rPr>
          <w:rFonts w:ascii="Arial" w:hAnsi="Arial" w:cs="Arial"/>
        </w:rPr>
        <w:tab/>
        <w:t>6,003 €/a</w:t>
      </w:r>
    </w:p>
    <w:p w:rsidR="008A7BDC" w:rsidRPr="00142952" w:rsidRDefault="008A7BDC" w:rsidP="008A7BDC">
      <w:pPr>
        <w:jc w:val="both"/>
        <w:rPr>
          <w:rFonts w:ascii="Arial" w:hAnsi="Arial" w:cs="Arial"/>
        </w:rPr>
      </w:pPr>
      <w:r w:rsidRPr="00142952">
        <w:rPr>
          <w:rFonts w:ascii="Arial" w:hAnsi="Arial" w:cs="Arial"/>
        </w:rPr>
        <w:t xml:space="preserve">    </w:t>
      </w:r>
      <w:r w:rsidRPr="00142952">
        <w:rPr>
          <w:rFonts w:ascii="Arial" w:hAnsi="Arial" w:cs="Arial"/>
        </w:rPr>
        <w:tab/>
        <w:t>Valor de la inversión</w:t>
      </w:r>
      <w:r w:rsidRPr="00142952">
        <w:rPr>
          <w:rFonts w:ascii="Arial" w:hAnsi="Arial" w:cs="Arial"/>
        </w:rPr>
        <w:tab/>
        <w:t>4.631,95 €</w:t>
      </w:r>
    </w:p>
    <w:p w:rsidR="008A7BDC" w:rsidRPr="00142952" w:rsidRDefault="008A7BDC" w:rsidP="008A7BDC">
      <w:pPr>
        <w:jc w:val="both"/>
        <w:rPr>
          <w:rFonts w:ascii="Arial" w:hAnsi="Arial" w:cs="Arial"/>
        </w:rPr>
      </w:pPr>
      <w:r w:rsidRPr="00142952">
        <w:rPr>
          <w:rFonts w:ascii="Arial" w:hAnsi="Arial" w:cs="Arial"/>
        </w:rPr>
        <w:t xml:space="preserve">    </w:t>
      </w:r>
      <w:r w:rsidRPr="00142952">
        <w:rPr>
          <w:rFonts w:ascii="Arial" w:hAnsi="Arial" w:cs="Arial"/>
        </w:rPr>
        <w:tab/>
        <w:t>Perdida en la inversión</w:t>
      </w:r>
      <w:r w:rsidRPr="00142952">
        <w:rPr>
          <w:rFonts w:ascii="Arial" w:hAnsi="Arial" w:cs="Arial"/>
        </w:rPr>
        <w:tab/>
        <w:t>-5.368,06 €</w:t>
      </w:r>
    </w:p>
    <w:p w:rsidR="008A7BDC" w:rsidRPr="00142952" w:rsidRDefault="008A7BDC" w:rsidP="008A7BDC">
      <w:pPr>
        <w:jc w:val="both"/>
        <w:rPr>
          <w:rFonts w:ascii="Arial" w:hAnsi="Arial" w:cs="Arial"/>
        </w:rPr>
      </w:pPr>
      <w:r w:rsidRPr="00142952">
        <w:rPr>
          <w:rFonts w:ascii="Arial" w:hAnsi="Arial" w:cs="Arial"/>
        </w:rPr>
        <w:t xml:space="preserve">    </w:t>
      </w:r>
      <w:r w:rsidRPr="00142952">
        <w:rPr>
          <w:rFonts w:ascii="Arial" w:hAnsi="Arial" w:cs="Arial"/>
        </w:rPr>
        <w:tab/>
        <w:t>Rentabilidad de la inversión</w:t>
      </w:r>
      <w:r w:rsidRPr="00142952">
        <w:rPr>
          <w:rFonts w:ascii="Arial" w:hAnsi="Arial" w:cs="Arial"/>
        </w:rPr>
        <w:tab/>
        <w:t>-53,68%</w:t>
      </w:r>
    </w:p>
    <w:p w:rsidR="008A7BDC" w:rsidRDefault="008A7BDC" w:rsidP="008A7BDC">
      <w:pPr>
        <w:jc w:val="both"/>
        <w:rPr>
          <w:rFonts w:ascii="Arial" w:hAnsi="Arial" w:cs="Arial"/>
        </w:rPr>
      </w:pPr>
      <w:r w:rsidRPr="00142952">
        <w:rPr>
          <w:rFonts w:ascii="Arial" w:hAnsi="Arial" w:cs="Arial"/>
        </w:rPr>
        <w:t xml:space="preserve">    </w:t>
      </w:r>
      <w:r w:rsidRPr="00142952">
        <w:rPr>
          <w:rFonts w:ascii="Arial" w:hAnsi="Arial" w:cs="Arial"/>
        </w:rPr>
        <w:tab/>
        <w:t>Comparación con otros productos financieros</w:t>
      </w:r>
    </w:p>
    <w:p w:rsidR="006A551E" w:rsidRPr="00142952" w:rsidRDefault="006A551E" w:rsidP="008A7BDC">
      <w:pPr>
        <w:jc w:val="both"/>
        <w:rPr>
          <w:rFonts w:ascii="Arial" w:hAnsi="Arial" w:cs="Arial"/>
        </w:rPr>
      </w:pPr>
    </w:p>
    <w:p w:rsidR="008A7BDC" w:rsidRPr="00142952" w:rsidRDefault="008A7BDC" w:rsidP="008A7BDC">
      <w:pPr>
        <w:jc w:val="both"/>
        <w:rPr>
          <w:rFonts w:ascii="Arial" w:hAnsi="Arial" w:cs="Arial"/>
        </w:rPr>
      </w:pPr>
      <w:r w:rsidRPr="00142952">
        <w:rPr>
          <w:rFonts w:ascii="Arial" w:hAnsi="Arial" w:cs="Arial"/>
        </w:rPr>
        <w:t xml:space="preserve">    Los valores del Santander son un producto de alto riesgo (calificación de producto amarillo), dentro de la misma calificación de otros como preferentes o subordinadas en lo que respecta a obligaciones de idoneidad e información previa; por lo que su comercialización a particulares o como producto de renta fija, supone la nulidad de la operación.</w:t>
      </w:r>
    </w:p>
    <w:p w:rsidR="00583DF0" w:rsidRDefault="00583DF0" w:rsidP="00245534">
      <w:pPr>
        <w:spacing w:line="360" w:lineRule="auto"/>
        <w:jc w:val="both"/>
        <w:rPr>
          <w:rFonts w:ascii="Arial" w:hAnsi="Arial" w:cs="Arial"/>
        </w:rPr>
      </w:pPr>
    </w:p>
    <w:p w:rsidR="00583DF0" w:rsidRDefault="00583DF0" w:rsidP="00245534">
      <w:pPr>
        <w:spacing w:line="360" w:lineRule="auto"/>
        <w:jc w:val="both"/>
        <w:rPr>
          <w:rFonts w:ascii="Arial" w:hAnsi="Arial" w:cs="Arial"/>
        </w:rPr>
      </w:pPr>
    </w:p>
    <w:p w:rsidR="00583DF0" w:rsidRDefault="00583DF0" w:rsidP="00245534">
      <w:pPr>
        <w:spacing w:line="360" w:lineRule="auto"/>
        <w:jc w:val="both"/>
        <w:rPr>
          <w:rFonts w:ascii="Arial" w:hAnsi="Arial" w:cs="Arial"/>
        </w:rPr>
      </w:pPr>
    </w:p>
    <w:p w:rsidR="00583DF0" w:rsidRDefault="00583DF0" w:rsidP="00245534">
      <w:pPr>
        <w:spacing w:line="360" w:lineRule="auto"/>
        <w:jc w:val="both"/>
        <w:rPr>
          <w:rFonts w:ascii="Arial" w:hAnsi="Arial" w:cs="Arial"/>
        </w:rPr>
      </w:pPr>
    </w:p>
    <w:p w:rsidR="006A551E" w:rsidRDefault="006A551E" w:rsidP="00245534">
      <w:pPr>
        <w:spacing w:line="360" w:lineRule="auto"/>
        <w:jc w:val="both"/>
        <w:rPr>
          <w:rFonts w:ascii="Arial" w:hAnsi="Arial" w:cs="Arial"/>
        </w:rPr>
      </w:pPr>
    </w:p>
    <w:p w:rsidR="006A551E" w:rsidRDefault="006A551E" w:rsidP="00245534">
      <w:pPr>
        <w:spacing w:line="360" w:lineRule="auto"/>
        <w:jc w:val="both"/>
        <w:rPr>
          <w:rFonts w:ascii="Arial" w:hAnsi="Arial" w:cs="Arial"/>
        </w:rPr>
      </w:pPr>
    </w:p>
    <w:p w:rsidR="006A551E" w:rsidRDefault="006A551E" w:rsidP="00245534">
      <w:pPr>
        <w:spacing w:line="360" w:lineRule="auto"/>
        <w:jc w:val="both"/>
        <w:rPr>
          <w:rFonts w:ascii="Arial" w:hAnsi="Arial" w:cs="Arial"/>
        </w:rPr>
      </w:pPr>
    </w:p>
    <w:p w:rsidR="006A551E" w:rsidRDefault="006A551E" w:rsidP="00245534">
      <w:pPr>
        <w:spacing w:line="360" w:lineRule="auto"/>
        <w:jc w:val="both"/>
        <w:rPr>
          <w:rFonts w:ascii="Arial" w:hAnsi="Arial" w:cs="Arial"/>
        </w:rPr>
      </w:pPr>
    </w:p>
    <w:p w:rsidR="006A551E" w:rsidRDefault="006A551E" w:rsidP="00245534">
      <w:pPr>
        <w:spacing w:line="360" w:lineRule="auto"/>
        <w:jc w:val="both"/>
        <w:rPr>
          <w:rFonts w:ascii="Arial" w:hAnsi="Arial" w:cs="Arial"/>
        </w:rPr>
      </w:pPr>
    </w:p>
    <w:p w:rsidR="006A551E" w:rsidRDefault="006A551E" w:rsidP="00245534">
      <w:pPr>
        <w:spacing w:line="360" w:lineRule="auto"/>
        <w:jc w:val="both"/>
        <w:rPr>
          <w:rFonts w:ascii="Arial" w:hAnsi="Arial" w:cs="Arial"/>
        </w:rPr>
      </w:pPr>
    </w:p>
    <w:p w:rsidR="006A551E" w:rsidRDefault="006A551E" w:rsidP="00245534">
      <w:pPr>
        <w:spacing w:line="360" w:lineRule="auto"/>
        <w:jc w:val="both"/>
        <w:rPr>
          <w:rFonts w:ascii="Arial" w:hAnsi="Arial" w:cs="Arial"/>
        </w:rPr>
      </w:pPr>
    </w:p>
    <w:p w:rsidR="006A551E" w:rsidRDefault="006A551E" w:rsidP="00245534">
      <w:pPr>
        <w:spacing w:line="360" w:lineRule="auto"/>
        <w:jc w:val="both"/>
        <w:rPr>
          <w:rFonts w:ascii="Arial" w:hAnsi="Arial" w:cs="Arial"/>
        </w:rPr>
      </w:pPr>
    </w:p>
    <w:p w:rsidR="006A551E" w:rsidRDefault="006A551E" w:rsidP="00245534">
      <w:pPr>
        <w:spacing w:line="360" w:lineRule="auto"/>
        <w:jc w:val="both"/>
        <w:rPr>
          <w:rFonts w:ascii="Arial" w:hAnsi="Arial" w:cs="Arial"/>
        </w:rPr>
      </w:pPr>
    </w:p>
    <w:p w:rsidR="006A551E" w:rsidRDefault="006A551E" w:rsidP="00245534">
      <w:pPr>
        <w:spacing w:line="360" w:lineRule="auto"/>
        <w:jc w:val="both"/>
        <w:rPr>
          <w:rFonts w:ascii="Arial" w:hAnsi="Arial" w:cs="Arial"/>
        </w:rPr>
      </w:pPr>
    </w:p>
    <w:p w:rsidR="006A551E" w:rsidRDefault="006A551E" w:rsidP="00245534">
      <w:pPr>
        <w:spacing w:line="360" w:lineRule="auto"/>
        <w:jc w:val="both"/>
        <w:rPr>
          <w:rFonts w:ascii="Arial" w:hAnsi="Arial" w:cs="Arial"/>
        </w:rPr>
      </w:pPr>
    </w:p>
    <w:p w:rsidR="006A551E" w:rsidRDefault="006A551E" w:rsidP="00245534">
      <w:pPr>
        <w:spacing w:line="360" w:lineRule="auto"/>
        <w:jc w:val="both"/>
        <w:rPr>
          <w:rFonts w:ascii="Arial" w:hAnsi="Arial" w:cs="Arial"/>
        </w:rPr>
      </w:pPr>
    </w:p>
    <w:p w:rsidR="006A551E" w:rsidRDefault="006A551E" w:rsidP="00245534">
      <w:pPr>
        <w:spacing w:line="360" w:lineRule="auto"/>
        <w:jc w:val="both"/>
        <w:rPr>
          <w:rFonts w:ascii="Arial" w:hAnsi="Arial" w:cs="Arial"/>
        </w:rPr>
      </w:pPr>
    </w:p>
    <w:p w:rsidR="006A551E" w:rsidRDefault="006A551E" w:rsidP="00245534">
      <w:pPr>
        <w:spacing w:line="360" w:lineRule="auto"/>
        <w:jc w:val="both"/>
        <w:rPr>
          <w:rFonts w:ascii="Arial" w:hAnsi="Arial" w:cs="Arial"/>
        </w:rPr>
      </w:pPr>
    </w:p>
    <w:p w:rsidR="006A551E" w:rsidRDefault="006A551E" w:rsidP="00245534">
      <w:pPr>
        <w:spacing w:line="360" w:lineRule="auto"/>
        <w:jc w:val="both"/>
        <w:rPr>
          <w:rFonts w:ascii="Arial" w:hAnsi="Arial" w:cs="Arial"/>
        </w:rPr>
      </w:pPr>
    </w:p>
    <w:p w:rsidR="006A551E" w:rsidRDefault="006A551E" w:rsidP="00245534">
      <w:pPr>
        <w:spacing w:line="360" w:lineRule="auto"/>
        <w:jc w:val="both"/>
        <w:rPr>
          <w:rFonts w:ascii="Arial" w:hAnsi="Arial" w:cs="Arial"/>
        </w:rPr>
      </w:pPr>
    </w:p>
    <w:p w:rsidR="006A551E" w:rsidRDefault="006A551E" w:rsidP="00245534">
      <w:pPr>
        <w:spacing w:line="360" w:lineRule="auto"/>
        <w:jc w:val="both"/>
        <w:rPr>
          <w:rFonts w:ascii="Arial" w:hAnsi="Arial" w:cs="Arial"/>
        </w:rPr>
      </w:pPr>
    </w:p>
    <w:p w:rsidR="006A551E" w:rsidRDefault="006A551E" w:rsidP="00245534">
      <w:pPr>
        <w:spacing w:line="360" w:lineRule="auto"/>
        <w:jc w:val="both"/>
        <w:rPr>
          <w:rFonts w:ascii="Arial" w:hAnsi="Arial" w:cs="Arial"/>
        </w:rPr>
      </w:pPr>
    </w:p>
    <w:p w:rsidR="006A551E" w:rsidRDefault="006A551E" w:rsidP="00245534">
      <w:pPr>
        <w:spacing w:line="360" w:lineRule="auto"/>
        <w:jc w:val="both"/>
        <w:rPr>
          <w:rFonts w:ascii="Arial" w:hAnsi="Arial" w:cs="Arial"/>
        </w:rPr>
      </w:pPr>
    </w:p>
    <w:p w:rsidR="006A551E" w:rsidRDefault="006A551E" w:rsidP="00245534">
      <w:pPr>
        <w:spacing w:line="360" w:lineRule="auto"/>
        <w:jc w:val="both"/>
        <w:rPr>
          <w:rFonts w:ascii="Arial" w:hAnsi="Arial" w:cs="Arial"/>
        </w:rPr>
      </w:pPr>
    </w:p>
    <w:p w:rsidR="006A551E" w:rsidRDefault="006A551E" w:rsidP="00245534">
      <w:pPr>
        <w:spacing w:line="360" w:lineRule="auto"/>
        <w:jc w:val="both"/>
        <w:rPr>
          <w:rFonts w:ascii="Arial" w:hAnsi="Arial" w:cs="Arial"/>
        </w:rPr>
      </w:pPr>
    </w:p>
    <w:p w:rsidR="006A551E" w:rsidRDefault="006A551E" w:rsidP="00245534">
      <w:pPr>
        <w:spacing w:line="360" w:lineRule="auto"/>
        <w:jc w:val="both"/>
        <w:rPr>
          <w:rFonts w:ascii="Arial" w:hAnsi="Arial" w:cs="Arial"/>
        </w:rPr>
      </w:pPr>
    </w:p>
    <w:p w:rsidR="006A551E" w:rsidRDefault="006A551E" w:rsidP="00245534">
      <w:pPr>
        <w:spacing w:line="360" w:lineRule="auto"/>
        <w:jc w:val="both"/>
        <w:rPr>
          <w:rFonts w:ascii="Arial" w:hAnsi="Arial" w:cs="Arial"/>
        </w:rPr>
      </w:pPr>
    </w:p>
    <w:p w:rsidR="006A551E" w:rsidRDefault="006A551E" w:rsidP="00245534">
      <w:pPr>
        <w:spacing w:line="360" w:lineRule="auto"/>
        <w:jc w:val="both"/>
        <w:rPr>
          <w:rFonts w:ascii="Arial" w:hAnsi="Arial" w:cs="Arial"/>
        </w:rPr>
      </w:pPr>
    </w:p>
    <w:p w:rsidR="00583DF0" w:rsidRDefault="00583DF0"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r>
        <w:rPr>
          <w:rFonts w:ascii="Arial" w:hAnsi="Arial" w:cs="Arial"/>
          <w:noProof/>
        </w:rPr>
        <w:drawing>
          <wp:inline distT="0" distB="0" distL="0" distR="0">
            <wp:extent cx="5444940" cy="3629959"/>
            <wp:effectExtent l="19050" t="0" r="3360" b="0"/>
            <wp:docPr id="27" name="Imagen 11" descr="C:\Users\Alfredo\Dropbox\artículos para la web JUNIO 2015\fotos comprimidas\abogados penalistas oviedo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fredo\Dropbox\artículos para la web JUNIO 2015\fotos comprimidas\abogados penalistas oviedo (11).JPG"/>
                    <pic:cNvPicPr>
                      <a:picLocks noChangeAspect="1" noChangeArrowheads="1"/>
                    </pic:cNvPicPr>
                  </pic:nvPicPr>
                  <pic:blipFill>
                    <a:blip r:embed="rId10" cstate="print"/>
                    <a:srcRect/>
                    <a:stretch>
                      <a:fillRect/>
                    </a:stretch>
                  </pic:blipFill>
                  <pic:spPr bwMode="auto">
                    <a:xfrm>
                      <a:off x="0" y="0"/>
                      <a:ext cx="5459454" cy="3639635"/>
                    </a:xfrm>
                    <a:prstGeom prst="rect">
                      <a:avLst/>
                    </a:prstGeom>
                    <a:noFill/>
                    <a:ln w="9525">
                      <a:noFill/>
                      <a:miter lim="800000"/>
                      <a:headEnd/>
                      <a:tailEnd/>
                    </a:ln>
                  </pic:spPr>
                </pic:pic>
              </a:graphicData>
            </a:graphic>
          </wp:inline>
        </w:drawing>
      </w: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9009ED" w:rsidP="00245534">
      <w:pPr>
        <w:spacing w:line="360" w:lineRule="auto"/>
        <w:jc w:val="both"/>
        <w:rPr>
          <w:rFonts w:ascii="Arial" w:hAnsi="Arial" w:cs="Arial"/>
        </w:rPr>
      </w:pPr>
      <w:r>
        <w:rPr>
          <w:rFonts w:ascii="Arial" w:hAnsi="Arial" w:cs="Arial"/>
          <w:noProof/>
        </w:rPr>
        <w:drawing>
          <wp:inline distT="0" distB="0" distL="0" distR="0">
            <wp:extent cx="5552766" cy="4007224"/>
            <wp:effectExtent l="19050" t="0" r="0" b="0"/>
            <wp:docPr id="26" name="Imagen 10" descr="C:\Users\Alfredo\Dropbox\artículos para la web JUNIO 2015\fotos comprimidas\abogados penalistas oviedo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fredo\Dropbox\artículos para la web JUNIO 2015\fotos comprimidas\abogados penalistas oviedo (10).jpg"/>
                    <pic:cNvPicPr>
                      <a:picLocks noChangeAspect="1" noChangeArrowheads="1"/>
                    </pic:cNvPicPr>
                  </pic:nvPicPr>
                  <pic:blipFill>
                    <a:blip r:embed="rId11" cstate="print"/>
                    <a:srcRect/>
                    <a:stretch>
                      <a:fillRect/>
                    </a:stretch>
                  </pic:blipFill>
                  <pic:spPr bwMode="auto">
                    <a:xfrm>
                      <a:off x="0" y="0"/>
                      <a:ext cx="5559392" cy="4012006"/>
                    </a:xfrm>
                    <a:prstGeom prst="rect">
                      <a:avLst/>
                    </a:prstGeom>
                    <a:noFill/>
                    <a:ln w="9525">
                      <a:noFill/>
                      <a:miter lim="800000"/>
                      <a:headEnd/>
                      <a:tailEnd/>
                    </a:ln>
                  </pic:spPr>
                </pic:pic>
              </a:graphicData>
            </a:graphic>
          </wp:inline>
        </w:drawing>
      </w: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9009ED" w:rsidP="00245534">
      <w:pPr>
        <w:spacing w:line="360" w:lineRule="auto"/>
        <w:jc w:val="both"/>
        <w:rPr>
          <w:rFonts w:ascii="Arial" w:hAnsi="Arial" w:cs="Arial"/>
        </w:rPr>
      </w:pPr>
      <w:r>
        <w:rPr>
          <w:rFonts w:ascii="Arial" w:hAnsi="Arial" w:cs="Arial"/>
          <w:noProof/>
        </w:rPr>
        <w:drawing>
          <wp:inline distT="0" distB="0" distL="0" distR="0">
            <wp:extent cx="5808009" cy="3872006"/>
            <wp:effectExtent l="19050" t="0" r="2241" b="0"/>
            <wp:docPr id="25" name="Imagen 9" descr="C:\Users\Alfredo\Dropbox\artículos para la web JUNIO 2015\fotos comprimidas\abogados penalistas ovied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fredo\Dropbox\artículos para la web JUNIO 2015\fotos comprimidas\abogados penalistas oviedo (9).jpg"/>
                    <pic:cNvPicPr>
                      <a:picLocks noChangeAspect="1" noChangeArrowheads="1"/>
                    </pic:cNvPicPr>
                  </pic:nvPicPr>
                  <pic:blipFill>
                    <a:blip r:embed="rId12" cstate="print"/>
                    <a:srcRect/>
                    <a:stretch>
                      <a:fillRect/>
                    </a:stretch>
                  </pic:blipFill>
                  <pic:spPr bwMode="auto">
                    <a:xfrm>
                      <a:off x="0" y="0"/>
                      <a:ext cx="5817628" cy="3878419"/>
                    </a:xfrm>
                    <a:prstGeom prst="rect">
                      <a:avLst/>
                    </a:prstGeom>
                    <a:noFill/>
                    <a:ln w="9525">
                      <a:noFill/>
                      <a:miter lim="800000"/>
                      <a:headEnd/>
                      <a:tailEnd/>
                    </a:ln>
                  </pic:spPr>
                </pic:pic>
              </a:graphicData>
            </a:graphic>
          </wp:inline>
        </w:drawing>
      </w: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r>
        <w:rPr>
          <w:rFonts w:ascii="Arial" w:hAnsi="Arial" w:cs="Arial"/>
          <w:noProof/>
        </w:rPr>
        <w:drawing>
          <wp:inline distT="0" distB="0" distL="0" distR="0">
            <wp:extent cx="5419165" cy="3612776"/>
            <wp:effectExtent l="19050" t="0" r="0" b="0"/>
            <wp:docPr id="22" name="Imagen 6" descr="C:\Users\Alfredo\Dropbox\artículos para la web JUNIO 2015\fotos comprimidas\abogados penalistas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comprimidas\abogados penalistas oviedo (6).jpg"/>
                    <pic:cNvPicPr>
                      <a:picLocks noChangeAspect="1" noChangeArrowheads="1"/>
                    </pic:cNvPicPr>
                  </pic:nvPicPr>
                  <pic:blipFill>
                    <a:blip r:embed="rId13" cstate="print"/>
                    <a:srcRect/>
                    <a:stretch>
                      <a:fillRect/>
                    </a:stretch>
                  </pic:blipFill>
                  <pic:spPr bwMode="auto">
                    <a:xfrm>
                      <a:off x="0" y="0"/>
                      <a:ext cx="5438997" cy="3625997"/>
                    </a:xfrm>
                    <a:prstGeom prst="rect">
                      <a:avLst/>
                    </a:prstGeom>
                    <a:noFill/>
                    <a:ln w="9525">
                      <a:noFill/>
                      <a:miter lim="800000"/>
                      <a:headEnd/>
                      <a:tailEnd/>
                    </a:ln>
                  </pic:spPr>
                </pic:pic>
              </a:graphicData>
            </a:graphic>
          </wp:inline>
        </w:drawing>
      </w: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4B5793" w:rsidRDefault="009009ED" w:rsidP="00245534">
      <w:pPr>
        <w:spacing w:line="360" w:lineRule="auto"/>
        <w:jc w:val="both"/>
        <w:rPr>
          <w:rFonts w:ascii="Arial" w:hAnsi="Arial" w:cs="Arial"/>
        </w:rPr>
      </w:pPr>
      <w:r>
        <w:rPr>
          <w:rFonts w:ascii="Arial" w:hAnsi="Arial" w:cs="Arial"/>
          <w:noProof/>
        </w:rPr>
        <w:drawing>
          <wp:inline distT="0" distB="0" distL="0" distR="0">
            <wp:extent cx="5592856" cy="3728571"/>
            <wp:effectExtent l="19050" t="0" r="7844" b="0"/>
            <wp:docPr id="21" name="Imagen 5" descr="C:\Users\Alfredo\Dropbox\artículos para la web JUNIO 2015\fotos comprimidas\abogados penalistas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comprimidas\abogados penalistas oviedo (5).jpg"/>
                    <pic:cNvPicPr>
                      <a:picLocks noChangeAspect="1" noChangeArrowheads="1"/>
                    </pic:cNvPicPr>
                  </pic:nvPicPr>
                  <pic:blipFill>
                    <a:blip r:embed="rId14" cstate="print"/>
                    <a:srcRect/>
                    <a:stretch>
                      <a:fillRect/>
                    </a:stretch>
                  </pic:blipFill>
                  <pic:spPr bwMode="auto">
                    <a:xfrm>
                      <a:off x="0" y="0"/>
                      <a:ext cx="5600876" cy="3733918"/>
                    </a:xfrm>
                    <a:prstGeom prst="rect">
                      <a:avLst/>
                    </a:prstGeom>
                    <a:noFill/>
                    <a:ln w="9525">
                      <a:noFill/>
                      <a:miter lim="800000"/>
                      <a:headEnd/>
                      <a:tailEnd/>
                    </a:ln>
                  </pic:spPr>
                </pic:pic>
              </a:graphicData>
            </a:graphic>
          </wp:inline>
        </w:drawing>
      </w: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r>
        <w:rPr>
          <w:rFonts w:ascii="Arial" w:hAnsi="Arial" w:cs="Arial"/>
          <w:noProof/>
        </w:rPr>
        <w:drawing>
          <wp:inline distT="0" distB="0" distL="0" distR="0">
            <wp:extent cx="5809130" cy="3872753"/>
            <wp:effectExtent l="19050" t="0" r="1120" b="0"/>
            <wp:docPr id="19" name="Imagen 3" descr="C:\Users\Alfredo\Dropbox\artículos para la web JUNIO 2015\fotos comprimidas\abogados penalistas ovied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fredo\Dropbox\artículos para la web JUNIO 2015\fotos comprimidas\abogados penalistas oviedo (3).jpg"/>
                    <pic:cNvPicPr>
                      <a:picLocks noChangeAspect="1" noChangeArrowheads="1"/>
                    </pic:cNvPicPr>
                  </pic:nvPicPr>
                  <pic:blipFill>
                    <a:blip r:embed="rId15" cstate="print"/>
                    <a:srcRect/>
                    <a:stretch>
                      <a:fillRect/>
                    </a:stretch>
                  </pic:blipFill>
                  <pic:spPr bwMode="auto">
                    <a:xfrm>
                      <a:off x="0" y="0"/>
                      <a:ext cx="5820753" cy="3880502"/>
                    </a:xfrm>
                    <a:prstGeom prst="rect">
                      <a:avLst/>
                    </a:prstGeom>
                    <a:noFill/>
                    <a:ln w="9525">
                      <a:noFill/>
                      <a:miter lim="800000"/>
                      <a:headEnd/>
                      <a:tailEnd/>
                    </a:ln>
                  </pic:spPr>
                </pic:pic>
              </a:graphicData>
            </a:graphic>
          </wp:inline>
        </w:drawing>
      </w: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DB1736" w:rsidRDefault="009009ED" w:rsidP="00245534">
      <w:pPr>
        <w:spacing w:line="360" w:lineRule="auto"/>
        <w:jc w:val="both"/>
        <w:rPr>
          <w:rFonts w:ascii="Arial" w:hAnsi="Arial" w:cs="Arial"/>
        </w:rPr>
      </w:pPr>
      <w:r>
        <w:rPr>
          <w:rFonts w:ascii="Arial" w:hAnsi="Arial" w:cs="Arial"/>
          <w:noProof/>
        </w:rPr>
        <w:drawing>
          <wp:inline distT="0" distB="0" distL="0" distR="0">
            <wp:extent cx="5647764" cy="3890218"/>
            <wp:effectExtent l="19050" t="0" r="0" b="0"/>
            <wp:docPr id="12" name="Imagen 1" descr="C:\Users\Alfredo\Dropbox\artículos para la web JUNIO 2015\fotos comprimidas\abogados penalistas ovied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fredo\Dropbox\artículos para la web JUNIO 2015\fotos comprimidas\abogados penalistas oviedo (1).jpg"/>
                    <pic:cNvPicPr>
                      <a:picLocks noChangeAspect="1" noChangeArrowheads="1"/>
                    </pic:cNvPicPr>
                  </pic:nvPicPr>
                  <pic:blipFill>
                    <a:blip r:embed="rId16" cstate="print"/>
                    <a:srcRect/>
                    <a:stretch>
                      <a:fillRect/>
                    </a:stretch>
                  </pic:blipFill>
                  <pic:spPr bwMode="auto">
                    <a:xfrm>
                      <a:off x="0" y="0"/>
                      <a:ext cx="5659357" cy="3898203"/>
                    </a:xfrm>
                    <a:prstGeom prst="rect">
                      <a:avLst/>
                    </a:prstGeom>
                    <a:noFill/>
                    <a:ln w="9525">
                      <a:noFill/>
                      <a:miter lim="800000"/>
                      <a:headEnd/>
                      <a:tailEnd/>
                    </a:ln>
                  </pic:spPr>
                </pic:pic>
              </a:graphicData>
            </a:graphic>
          </wp:inline>
        </w:drawing>
      </w:r>
    </w:p>
    <w:p w:rsidR="00DB1736" w:rsidRDefault="00DB1736" w:rsidP="00245534">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2821BC" w:rsidRDefault="002821BC" w:rsidP="00245534">
      <w:pPr>
        <w:spacing w:line="360" w:lineRule="auto"/>
        <w:jc w:val="both"/>
        <w:rPr>
          <w:rFonts w:ascii="Arial" w:hAnsi="Arial" w:cs="Arial"/>
        </w:rPr>
      </w:pPr>
    </w:p>
    <w:p w:rsidR="00D02291" w:rsidRPr="00245534" w:rsidRDefault="00D02291" w:rsidP="009009ED">
      <w:pPr>
        <w:spacing w:line="360" w:lineRule="auto"/>
        <w:jc w:val="both"/>
        <w:rPr>
          <w:rFonts w:ascii="Arial" w:hAnsi="Arial" w:cs="Arial"/>
        </w:rPr>
      </w:pPr>
    </w:p>
    <w:sectPr w:rsidR="00D02291" w:rsidRPr="00245534" w:rsidSect="00E47CD0">
      <w:headerReference w:type="even" r:id="rId17"/>
      <w:headerReference w:type="default" r:id="rId18"/>
      <w:footerReference w:type="even" r:id="rId19"/>
      <w:footerReference w:type="default" r:id="rId20"/>
      <w:headerReference w:type="first" r:id="rId21"/>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5AE6" w:rsidRDefault="00AE5AE6">
      <w:r>
        <w:separator/>
      </w:r>
    </w:p>
  </w:endnote>
  <w:endnote w:type="continuationSeparator" w:id="0">
    <w:p w:rsidR="00AE5AE6" w:rsidRDefault="00AE5AE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E352D"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E352D"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3B73B3">
      <w:rPr>
        <w:rStyle w:val="Nmerodepgina"/>
        <w:noProof/>
      </w:rPr>
      <w:t>3</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w:t>
    </w:r>
    <w:proofErr w:type="spellStart"/>
    <w:r>
      <w:rPr>
        <w:rFonts w:ascii="Arial" w:hAnsi="Arial" w:cs="Arial"/>
        <w:sz w:val="16"/>
        <w:szCs w:val="16"/>
      </w:rPr>
      <w:t>875f</w:t>
    </w:r>
    <w:proofErr w:type="spellEnd"/>
  </w:p>
  <w:p w:rsidR="00247F1A" w:rsidRPr="00741184" w:rsidRDefault="00247F1A" w:rsidP="00741184">
    <w:pPr>
      <w:pStyle w:val="Piedepgina"/>
      <w:jc w:val="center"/>
      <w:rPr>
        <w:rFonts w:ascii="Arial" w:hAnsi="Arial" w:cs="Arial"/>
        <w:sz w:val="16"/>
        <w:szCs w:val="16"/>
      </w:rPr>
    </w:pPr>
    <w:proofErr w:type="spellStart"/>
    <w:r>
      <w:rPr>
        <w:rFonts w:ascii="Arial" w:hAnsi="Arial" w:cs="Arial"/>
        <w:sz w:val="16"/>
        <w:szCs w:val="16"/>
      </w:rPr>
      <w:t>www.alfredogarcialopez.es</w:t>
    </w:r>
    <w:r w:rsidR="00EF669D">
      <w:rPr>
        <w:rFonts w:ascii="Arial" w:hAnsi="Arial" w:cs="Arial"/>
        <w:sz w:val="16"/>
        <w:szCs w:val="16"/>
      </w:rPr>
      <w:t>/com</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5AE6" w:rsidRDefault="00AE5AE6">
      <w:r>
        <w:separator/>
      </w:r>
    </w:p>
  </w:footnote>
  <w:footnote w:type="continuationSeparator" w:id="0">
    <w:p w:rsidR="00AE5AE6" w:rsidRDefault="00AE5A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E352D">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E352D"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E352D">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0B7A07"/>
    <w:multiLevelType w:val="multilevel"/>
    <w:tmpl w:val="4696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DF8037E"/>
    <w:multiLevelType w:val="multilevel"/>
    <w:tmpl w:val="536E0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CF6A7A"/>
    <w:multiLevelType w:val="multilevel"/>
    <w:tmpl w:val="51B8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AC87CFC"/>
    <w:multiLevelType w:val="multilevel"/>
    <w:tmpl w:val="3ED4D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0"/>
  </w:num>
  <w:num w:numId="5">
    <w:abstractNumId w:val="37"/>
  </w:num>
  <w:num w:numId="6">
    <w:abstractNumId w:val="18"/>
    <w:lvlOverride w:ilvl="0">
      <w:lvl w:ilvl="0">
        <w:numFmt w:val="decimal"/>
        <w:lvlText w:val="%1."/>
        <w:lvlJc w:val="left"/>
      </w:lvl>
    </w:lvlOverride>
  </w:num>
  <w:num w:numId="7">
    <w:abstractNumId w:val="17"/>
  </w:num>
  <w:num w:numId="8">
    <w:abstractNumId w:val="12"/>
  </w:num>
  <w:num w:numId="9">
    <w:abstractNumId w:val="27"/>
  </w:num>
  <w:num w:numId="10">
    <w:abstractNumId w:val="21"/>
  </w:num>
  <w:num w:numId="11">
    <w:abstractNumId w:val="13"/>
  </w:num>
  <w:num w:numId="12">
    <w:abstractNumId w:val="31"/>
  </w:num>
  <w:num w:numId="13">
    <w:abstractNumId w:val="14"/>
  </w:num>
  <w:num w:numId="14">
    <w:abstractNumId w:val="15"/>
  </w:num>
  <w:num w:numId="15">
    <w:abstractNumId w:val="32"/>
  </w:num>
  <w:num w:numId="16">
    <w:abstractNumId w:val="36"/>
  </w:num>
  <w:num w:numId="17">
    <w:abstractNumId w:val="38"/>
  </w:num>
  <w:num w:numId="18">
    <w:abstractNumId w:val="40"/>
  </w:num>
  <w:num w:numId="19">
    <w:abstractNumId w:val="39"/>
  </w:num>
  <w:num w:numId="20">
    <w:abstractNumId w:val="35"/>
  </w:num>
  <w:num w:numId="21">
    <w:abstractNumId w:val="41"/>
  </w:num>
  <w:num w:numId="22">
    <w:abstractNumId w:val="11"/>
  </w:num>
  <w:num w:numId="23">
    <w:abstractNumId w:val="44"/>
  </w:num>
  <w:num w:numId="24">
    <w:abstractNumId w:val="19"/>
  </w:num>
  <w:num w:numId="25">
    <w:abstractNumId w:val="33"/>
  </w:num>
  <w:num w:numId="26">
    <w:abstractNumId w:val="43"/>
  </w:num>
  <w:num w:numId="27">
    <w:abstractNumId w:val="29"/>
  </w:num>
  <w:num w:numId="28">
    <w:abstractNumId w:val="10"/>
  </w:num>
  <w:num w:numId="29">
    <w:abstractNumId w:val="42"/>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26"/>
  </w:num>
  <w:num w:numId="44">
    <w:abstractNumId w:val="22"/>
  </w:num>
  <w:num w:numId="45">
    <w:abstractNumId w:val="3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proofState w:spelling="clean" w:grammar="clean"/>
  <w:stylePaneFormatFilter w:val="3F01"/>
  <w:defaultTabStop w:val="708"/>
  <w:hyphenationZone w:val="425"/>
  <w:characterSpacingControl w:val="doNotCompress"/>
  <w:hdrShapeDefaults>
    <o:shapedefaults v:ext="edit" spidmax="580610"/>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3470"/>
    <w:rsid w:val="00005799"/>
    <w:rsid w:val="00005938"/>
    <w:rsid w:val="00005AFB"/>
    <w:rsid w:val="000063DE"/>
    <w:rsid w:val="00012324"/>
    <w:rsid w:val="00016AA0"/>
    <w:rsid w:val="00017DA5"/>
    <w:rsid w:val="00022BD2"/>
    <w:rsid w:val="00024FEF"/>
    <w:rsid w:val="0003072D"/>
    <w:rsid w:val="00033922"/>
    <w:rsid w:val="00033CEB"/>
    <w:rsid w:val="000362A9"/>
    <w:rsid w:val="00037D25"/>
    <w:rsid w:val="00042584"/>
    <w:rsid w:val="00044D2E"/>
    <w:rsid w:val="000457B5"/>
    <w:rsid w:val="00046A79"/>
    <w:rsid w:val="00051042"/>
    <w:rsid w:val="000516A3"/>
    <w:rsid w:val="00053264"/>
    <w:rsid w:val="0005441C"/>
    <w:rsid w:val="000546BE"/>
    <w:rsid w:val="0005559E"/>
    <w:rsid w:val="00063CF8"/>
    <w:rsid w:val="00067363"/>
    <w:rsid w:val="00067615"/>
    <w:rsid w:val="000677B4"/>
    <w:rsid w:val="00067EEE"/>
    <w:rsid w:val="000704AB"/>
    <w:rsid w:val="00072160"/>
    <w:rsid w:val="00072735"/>
    <w:rsid w:val="00073B7E"/>
    <w:rsid w:val="000743A0"/>
    <w:rsid w:val="00075026"/>
    <w:rsid w:val="00076312"/>
    <w:rsid w:val="00077A88"/>
    <w:rsid w:val="000825EC"/>
    <w:rsid w:val="00083E4E"/>
    <w:rsid w:val="00086F28"/>
    <w:rsid w:val="000873CF"/>
    <w:rsid w:val="00087E34"/>
    <w:rsid w:val="000915CD"/>
    <w:rsid w:val="00096DA1"/>
    <w:rsid w:val="000A133F"/>
    <w:rsid w:val="000A3582"/>
    <w:rsid w:val="000A6A5F"/>
    <w:rsid w:val="000B30D9"/>
    <w:rsid w:val="000C16DA"/>
    <w:rsid w:val="000C2041"/>
    <w:rsid w:val="000C22DA"/>
    <w:rsid w:val="000C337E"/>
    <w:rsid w:val="000C3873"/>
    <w:rsid w:val="000C47AE"/>
    <w:rsid w:val="000C4953"/>
    <w:rsid w:val="000D5D61"/>
    <w:rsid w:val="000D6B11"/>
    <w:rsid w:val="000E1823"/>
    <w:rsid w:val="000E27E7"/>
    <w:rsid w:val="000F1749"/>
    <w:rsid w:val="000F305D"/>
    <w:rsid w:val="000F5A8D"/>
    <w:rsid w:val="000F5EF4"/>
    <w:rsid w:val="000F7076"/>
    <w:rsid w:val="000F7844"/>
    <w:rsid w:val="0010060C"/>
    <w:rsid w:val="0010178D"/>
    <w:rsid w:val="00101CFD"/>
    <w:rsid w:val="00101E4E"/>
    <w:rsid w:val="0011301C"/>
    <w:rsid w:val="0011338B"/>
    <w:rsid w:val="001172ED"/>
    <w:rsid w:val="00117AA2"/>
    <w:rsid w:val="00117C70"/>
    <w:rsid w:val="001204C1"/>
    <w:rsid w:val="001209D4"/>
    <w:rsid w:val="00122D88"/>
    <w:rsid w:val="00123215"/>
    <w:rsid w:val="001232BE"/>
    <w:rsid w:val="00124EA1"/>
    <w:rsid w:val="00126642"/>
    <w:rsid w:val="00131CFB"/>
    <w:rsid w:val="00135F63"/>
    <w:rsid w:val="001360FD"/>
    <w:rsid w:val="00136165"/>
    <w:rsid w:val="00137AEE"/>
    <w:rsid w:val="001403F3"/>
    <w:rsid w:val="00140D3C"/>
    <w:rsid w:val="00140F44"/>
    <w:rsid w:val="00142C8E"/>
    <w:rsid w:val="0014307B"/>
    <w:rsid w:val="00143B44"/>
    <w:rsid w:val="00144AB1"/>
    <w:rsid w:val="00145211"/>
    <w:rsid w:val="00146353"/>
    <w:rsid w:val="00146577"/>
    <w:rsid w:val="00150E4E"/>
    <w:rsid w:val="0015267B"/>
    <w:rsid w:val="00153427"/>
    <w:rsid w:val="001543FF"/>
    <w:rsid w:val="00155032"/>
    <w:rsid w:val="00155425"/>
    <w:rsid w:val="00155B70"/>
    <w:rsid w:val="00157604"/>
    <w:rsid w:val="00162E93"/>
    <w:rsid w:val="00163318"/>
    <w:rsid w:val="0016353A"/>
    <w:rsid w:val="00165508"/>
    <w:rsid w:val="00166951"/>
    <w:rsid w:val="00170C4A"/>
    <w:rsid w:val="00170D3F"/>
    <w:rsid w:val="001737EB"/>
    <w:rsid w:val="00175CE4"/>
    <w:rsid w:val="001765E7"/>
    <w:rsid w:val="001771E6"/>
    <w:rsid w:val="00181091"/>
    <w:rsid w:val="001829D1"/>
    <w:rsid w:val="001829D4"/>
    <w:rsid w:val="00183795"/>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4C3A"/>
    <w:rsid w:val="001D5763"/>
    <w:rsid w:val="001D6AB5"/>
    <w:rsid w:val="001D7106"/>
    <w:rsid w:val="001E0A4E"/>
    <w:rsid w:val="001E0D97"/>
    <w:rsid w:val="001E278F"/>
    <w:rsid w:val="001E3E5C"/>
    <w:rsid w:val="001E438D"/>
    <w:rsid w:val="001E491C"/>
    <w:rsid w:val="001E5F6F"/>
    <w:rsid w:val="001F194A"/>
    <w:rsid w:val="001F2637"/>
    <w:rsid w:val="001F56C0"/>
    <w:rsid w:val="00201B79"/>
    <w:rsid w:val="00202275"/>
    <w:rsid w:val="00204913"/>
    <w:rsid w:val="002054C7"/>
    <w:rsid w:val="00205758"/>
    <w:rsid w:val="00206865"/>
    <w:rsid w:val="00214BAE"/>
    <w:rsid w:val="0021672E"/>
    <w:rsid w:val="002201F6"/>
    <w:rsid w:val="00222D9D"/>
    <w:rsid w:val="00224282"/>
    <w:rsid w:val="00225477"/>
    <w:rsid w:val="00227116"/>
    <w:rsid w:val="00227944"/>
    <w:rsid w:val="0023233C"/>
    <w:rsid w:val="00232DFC"/>
    <w:rsid w:val="0023355F"/>
    <w:rsid w:val="00234CC5"/>
    <w:rsid w:val="00236A04"/>
    <w:rsid w:val="00241163"/>
    <w:rsid w:val="00241305"/>
    <w:rsid w:val="00241A9E"/>
    <w:rsid w:val="00245534"/>
    <w:rsid w:val="002456D5"/>
    <w:rsid w:val="00246CF8"/>
    <w:rsid w:val="00247F1A"/>
    <w:rsid w:val="00250136"/>
    <w:rsid w:val="0025036B"/>
    <w:rsid w:val="002503E9"/>
    <w:rsid w:val="00250B2A"/>
    <w:rsid w:val="00255846"/>
    <w:rsid w:val="00261EEC"/>
    <w:rsid w:val="00265D3C"/>
    <w:rsid w:val="002661E3"/>
    <w:rsid w:val="00266FF5"/>
    <w:rsid w:val="00267153"/>
    <w:rsid w:val="00270928"/>
    <w:rsid w:val="002726AC"/>
    <w:rsid w:val="002744D4"/>
    <w:rsid w:val="002759CE"/>
    <w:rsid w:val="002821BC"/>
    <w:rsid w:val="00282546"/>
    <w:rsid w:val="00283E8B"/>
    <w:rsid w:val="00284FAC"/>
    <w:rsid w:val="002860A4"/>
    <w:rsid w:val="002863E2"/>
    <w:rsid w:val="00287D71"/>
    <w:rsid w:val="00296DF2"/>
    <w:rsid w:val="002A0150"/>
    <w:rsid w:val="002A06DB"/>
    <w:rsid w:val="002A2EE4"/>
    <w:rsid w:val="002A45BF"/>
    <w:rsid w:val="002A6352"/>
    <w:rsid w:val="002A670B"/>
    <w:rsid w:val="002B04BE"/>
    <w:rsid w:val="002B268C"/>
    <w:rsid w:val="002B29D4"/>
    <w:rsid w:val="002B4021"/>
    <w:rsid w:val="002B579C"/>
    <w:rsid w:val="002B6667"/>
    <w:rsid w:val="002B7517"/>
    <w:rsid w:val="002B7B7F"/>
    <w:rsid w:val="002C2243"/>
    <w:rsid w:val="002C61B5"/>
    <w:rsid w:val="002C68B7"/>
    <w:rsid w:val="002D11AD"/>
    <w:rsid w:val="002D21BE"/>
    <w:rsid w:val="002D2ED2"/>
    <w:rsid w:val="002D32FE"/>
    <w:rsid w:val="002D50B8"/>
    <w:rsid w:val="002E053F"/>
    <w:rsid w:val="002E3AC7"/>
    <w:rsid w:val="002E3BC0"/>
    <w:rsid w:val="002E44E1"/>
    <w:rsid w:val="002F042F"/>
    <w:rsid w:val="002F0907"/>
    <w:rsid w:val="002F13C6"/>
    <w:rsid w:val="002F2F7D"/>
    <w:rsid w:val="002F46F4"/>
    <w:rsid w:val="002F6D88"/>
    <w:rsid w:val="002F7B53"/>
    <w:rsid w:val="00302E4F"/>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58AA"/>
    <w:rsid w:val="00350383"/>
    <w:rsid w:val="00351ABF"/>
    <w:rsid w:val="00353DF2"/>
    <w:rsid w:val="00357DD2"/>
    <w:rsid w:val="00361A96"/>
    <w:rsid w:val="00365E50"/>
    <w:rsid w:val="0036668D"/>
    <w:rsid w:val="00366E63"/>
    <w:rsid w:val="003672E1"/>
    <w:rsid w:val="0036733A"/>
    <w:rsid w:val="00367EC5"/>
    <w:rsid w:val="00372666"/>
    <w:rsid w:val="00373292"/>
    <w:rsid w:val="003737F2"/>
    <w:rsid w:val="00374027"/>
    <w:rsid w:val="00381299"/>
    <w:rsid w:val="003825CB"/>
    <w:rsid w:val="00392899"/>
    <w:rsid w:val="00393327"/>
    <w:rsid w:val="0039786D"/>
    <w:rsid w:val="003A1F2B"/>
    <w:rsid w:val="003A3123"/>
    <w:rsid w:val="003A6BA9"/>
    <w:rsid w:val="003B2016"/>
    <w:rsid w:val="003B28C1"/>
    <w:rsid w:val="003B294C"/>
    <w:rsid w:val="003B4424"/>
    <w:rsid w:val="003B5346"/>
    <w:rsid w:val="003B6C70"/>
    <w:rsid w:val="003B6FA8"/>
    <w:rsid w:val="003B70A6"/>
    <w:rsid w:val="003B736D"/>
    <w:rsid w:val="003B73B3"/>
    <w:rsid w:val="003C0CCA"/>
    <w:rsid w:val="003C1F2E"/>
    <w:rsid w:val="003C242B"/>
    <w:rsid w:val="003C31D5"/>
    <w:rsid w:val="003D0308"/>
    <w:rsid w:val="003D1CE9"/>
    <w:rsid w:val="003D31EA"/>
    <w:rsid w:val="003D3682"/>
    <w:rsid w:val="003D5696"/>
    <w:rsid w:val="003D5A4F"/>
    <w:rsid w:val="003D694C"/>
    <w:rsid w:val="003D6F6A"/>
    <w:rsid w:val="003E0849"/>
    <w:rsid w:val="003E2060"/>
    <w:rsid w:val="003E2382"/>
    <w:rsid w:val="003E3F2B"/>
    <w:rsid w:val="003E5D44"/>
    <w:rsid w:val="003E66C1"/>
    <w:rsid w:val="003E7310"/>
    <w:rsid w:val="003F11D6"/>
    <w:rsid w:val="003F6C38"/>
    <w:rsid w:val="004026DE"/>
    <w:rsid w:val="00403FB6"/>
    <w:rsid w:val="0040638C"/>
    <w:rsid w:val="004069A0"/>
    <w:rsid w:val="004136B4"/>
    <w:rsid w:val="00414CA4"/>
    <w:rsid w:val="00415284"/>
    <w:rsid w:val="004164A6"/>
    <w:rsid w:val="004169D7"/>
    <w:rsid w:val="00424146"/>
    <w:rsid w:val="00424999"/>
    <w:rsid w:val="00424E68"/>
    <w:rsid w:val="00430075"/>
    <w:rsid w:val="004310CD"/>
    <w:rsid w:val="00433028"/>
    <w:rsid w:val="00434F53"/>
    <w:rsid w:val="00441CF6"/>
    <w:rsid w:val="0044211B"/>
    <w:rsid w:val="00444A6A"/>
    <w:rsid w:val="00444E9C"/>
    <w:rsid w:val="00445C86"/>
    <w:rsid w:val="00446F88"/>
    <w:rsid w:val="00447A97"/>
    <w:rsid w:val="00447B6D"/>
    <w:rsid w:val="00447F11"/>
    <w:rsid w:val="00450935"/>
    <w:rsid w:val="00451F0E"/>
    <w:rsid w:val="0045264A"/>
    <w:rsid w:val="00453887"/>
    <w:rsid w:val="00453DE1"/>
    <w:rsid w:val="00457758"/>
    <w:rsid w:val="00457F59"/>
    <w:rsid w:val="0046105C"/>
    <w:rsid w:val="00461E39"/>
    <w:rsid w:val="00464DB2"/>
    <w:rsid w:val="00465065"/>
    <w:rsid w:val="0046656C"/>
    <w:rsid w:val="00470834"/>
    <w:rsid w:val="004712E1"/>
    <w:rsid w:val="0047172D"/>
    <w:rsid w:val="00472F61"/>
    <w:rsid w:val="004744B1"/>
    <w:rsid w:val="0047453D"/>
    <w:rsid w:val="00475782"/>
    <w:rsid w:val="0048064B"/>
    <w:rsid w:val="004813E1"/>
    <w:rsid w:val="0048268F"/>
    <w:rsid w:val="0048332D"/>
    <w:rsid w:val="00483D29"/>
    <w:rsid w:val="00484304"/>
    <w:rsid w:val="004856E9"/>
    <w:rsid w:val="0048734A"/>
    <w:rsid w:val="004908A3"/>
    <w:rsid w:val="0049251A"/>
    <w:rsid w:val="00494FEF"/>
    <w:rsid w:val="00495EC9"/>
    <w:rsid w:val="0049641D"/>
    <w:rsid w:val="004A04E5"/>
    <w:rsid w:val="004A2021"/>
    <w:rsid w:val="004A4482"/>
    <w:rsid w:val="004A6D3B"/>
    <w:rsid w:val="004B28BD"/>
    <w:rsid w:val="004B5793"/>
    <w:rsid w:val="004B7734"/>
    <w:rsid w:val="004C1C76"/>
    <w:rsid w:val="004C1F35"/>
    <w:rsid w:val="004C2912"/>
    <w:rsid w:val="004C358F"/>
    <w:rsid w:val="004C4D7A"/>
    <w:rsid w:val="004C4DD6"/>
    <w:rsid w:val="004C5EF2"/>
    <w:rsid w:val="004C7442"/>
    <w:rsid w:val="004D1089"/>
    <w:rsid w:val="004D11E2"/>
    <w:rsid w:val="004D157E"/>
    <w:rsid w:val="004D231A"/>
    <w:rsid w:val="004D2CC9"/>
    <w:rsid w:val="004D4741"/>
    <w:rsid w:val="004D4815"/>
    <w:rsid w:val="004D57A3"/>
    <w:rsid w:val="004D7C75"/>
    <w:rsid w:val="004E07D0"/>
    <w:rsid w:val="004E07F8"/>
    <w:rsid w:val="004E0928"/>
    <w:rsid w:val="004E737A"/>
    <w:rsid w:val="004F1AE6"/>
    <w:rsid w:val="004F39A9"/>
    <w:rsid w:val="004F4321"/>
    <w:rsid w:val="004F494F"/>
    <w:rsid w:val="004F7038"/>
    <w:rsid w:val="00502F2D"/>
    <w:rsid w:val="00506161"/>
    <w:rsid w:val="005071ED"/>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57B2C"/>
    <w:rsid w:val="00561F15"/>
    <w:rsid w:val="005636FA"/>
    <w:rsid w:val="0056683D"/>
    <w:rsid w:val="00573B2A"/>
    <w:rsid w:val="00577EC0"/>
    <w:rsid w:val="00583DF0"/>
    <w:rsid w:val="00586A96"/>
    <w:rsid w:val="00586AA3"/>
    <w:rsid w:val="00587A94"/>
    <w:rsid w:val="00590C68"/>
    <w:rsid w:val="005913E9"/>
    <w:rsid w:val="00594857"/>
    <w:rsid w:val="00595B9D"/>
    <w:rsid w:val="00595E1F"/>
    <w:rsid w:val="00597940"/>
    <w:rsid w:val="005A0AF5"/>
    <w:rsid w:val="005B22DA"/>
    <w:rsid w:val="005B2316"/>
    <w:rsid w:val="005B364E"/>
    <w:rsid w:val="005B4DE8"/>
    <w:rsid w:val="005B56D9"/>
    <w:rsid w:val="005B6F38"/>
    <w:rsid w:val="005B75C9"/>
    <w:rsid w:val="005C19B9"/>
    <w:rsid w:val="005C42C4"/>
    <w:rsid w:val="005C523E"/>
    <w:rsid w:val="005D24D0"/>
    <w:rsid w:val="005D3C55"/>
    <w:rsid w:val="005D7F03"/>
    <w:rsid w:val="005E548E"/>
    <w:rsid w:val="005E56CF"/>
    <w:rsid w:val="005F1F82"/>
    <w:rsid w:val="005F23CF"/>
    <w:rsid w:val="005F41D2"/>
    <w:rsid w:val="005F6243"/>
    <w:rsid w:val="005F7C83"/>
    <w:rsid w:val="0060154D"/>
    <w:rsid w:val="00605E0D"/>
    <w:rsid w:val="0061004A"/>
    <w:rsid w:val="00621861"/>
    <w:rsid w:val="00625C64"/>
    <w:rsid w:val="0063047C"/>
    <w:rsid w:val="00630B0B"/>
    <w:rsid w:val="0063121F"/>
    <w:rsid w:val="00632790"/>
    <w:rsid w:val="006338D1"/>
    <w:rsid w:val="00643141"/>
    <w:rsid w:val="00645015"/>
    <w:rsid w:val="00646C1D"/>
    <w:rsid w:val="006505F3"/>
    <w:rsid w:val="00655691"/>
    <w:rsid w:val="00657119"/>
    <w:rsid w:val="00657BF6"/>
    <w:rsid w:val="0066098A"/>
    <w:rsid w:val="00662A21"/>
    <w:rsid w:val="0066302C"/>
    <w:rsid w:val="006631FB"/>
    <w:rsid w:val="006636A4"/>
    <w:rsid w:val="00664269"/>
    <w:rsid w:val="00664504"/>
    <w:rsid w:val="00667AD7"/>
    <w:rsid w:val="006716D9"/>
    <w:rsid w:val="00676AA2"/>
    <w:rsid w:val="00676E07"/>
    <w:rsid w:val="006774FA"/>
    <w:rsid w:val="00681C99"/>
    <w:rsid w:val="0068274B"/>
    <w:rsid w:val="00682A57"/>
    <w:rsid w:val="00684CF4"/>
    <w:rsid w:val="006877B4"/>
    <w:rsid w:val="006928C9"/>
    <w:rsid w:val="006930B8"/>
    <w:rsid w:val="006936BB"/>
    <w:rsid w:val="00694729"/>
    <w:rsid w:val="006949F3"/>
    <w:rsid w:val="00697334"/>
    <w:rsid w:val="006A1490"/>
    <w:rsid w:val="006A1BCD"/>
    <w:rsid w:val="006A4E17"/>
    <w:rsid w:val="006A5309"/>
    <w:rsid w:val="006A551E"/>
    <w:rsid w:val="006A61E4"/>
    <w:rsid w:val="006B159B"/>
    <w:rsid w:val="006B447B"/>
    <w:rsid w:val="006B5836"/>
    <w:rsid w:val="006C0996"/>
    <w:rsid w:val="006C1DC1"/>
    <w:rsid w:val="006C350A"/>
    <w:rsid w:val="006C3DA2"/>
    <w:rsid w:val="006C640B"/>
    <w:rsid w:val="006C6430"/>
    <w:rsid w:val="006D0258"/>
    <w:rsid w:val="006D28F9"/>
    <w:rsid w:val="006D4E8D"/>
    <w:rsid w:val="006D590F"/>
    <w:rsid w:val="006D5D22"/>
    <w:rsid w:val="006E3887"/>
    <w:rsid w:val="006E6BA2"/>
    <w:rsid w:val="006E73A1"/>
    <w:rsid w:val="006E74F1"/>
    <w:rsid w:val="006E7547"/>
    <w:rsid w:val="006F4431"/>
    <w:rsid w:val="006F6E0F"/>
    <w:rsid w:val="007019DC"/>
    <w:rsid w:val="00701F10"/>
    <w:rsid w:val="00702306"/>
    <w:rsid w:val="00702897"/>
    <w:rsid w:val="00703FAD"/>
    <w:rsid w:val="00712D3F"/>
    <w:rsid w:val="00717478"/>
    <w:rsid w:val="00721D3E"/>
    <w:rsid w:val="00722C56"/>
    <w:rsid w:val="007252D3"/>
    <w:rsid w:val="00726804"/>
    <w:rsid w:val="00727120"/>
    <w:rsid w:val="00727173"/>
    <w:rsid w:val="0072781A"/>
    <w:rsid w:val="00730F24"/>
    <w:rsid w:val="00731EBB"/>
    <w:rsid w:val="007320B2"/>
    <w:rsid w:val="007348FE"/>
    <w:rsid w:val="00734A63"/>
    <w:rsid w:val="00734BA9"/>
    <w:rsid w:val="00741184"/>
    <w:rsid w:val="007419EB"/>
    <w:rsid w:val="00742C05"/>
    <w:rsid w:val="00743988"/>
    <w:rsid w:val="007440F5"/>
    <w:rsid w:val="0074498C"/>
    <w:rsid w:val="007465D8"/>
    <w:rsid w:val="00747158"/>
    <w:rsid w:val="00760140"/>
    <w:rsid w:val="00760ECB"/>
    <w:rsid w:val="007635F9"/>
    <w:rsid w:val="00763C44"/>
    <w:rsid w:val="00765E89"/>
    <w:rsid w:val="00767711"/>
    <w:rsid w:val="00767F47"/>
    <w:rsid w:val="00772E66"/>
    <w:rsid w:val="0077398E"/>
    <w:rsid w:val="007771EA"/>
    <w:rsid w:val="00782C76"/>
    <w:rsid w:val="007855E5"/>
    <w:rsid w:val="00786044"/>
    <w:rsid w:val="00786F4F"/>
    <w:rsid w:val="00792B95"/>
    <w:rsid w:val="00793A58"/>
    <w:rsid w:val="00793DAF"/>
    <w:rsid w:val="00793DB1"/>
    <w:rsid w:val="007969C0"/>
    <w:rsid w:val="00797717"/>
    <w:rsid w:val="007A02EB"/>
    <w:rsid w:val="007A19AF"/>
    <w:rsid w:val="007A1D46"/>
    <w:rsid w:val="007A34C4"/>
    <w:rsid w:val="007A351D"/>
    <w:rsid w:val="007A4850"/>
    <w:rsid w:val="007A6627"/>
    <w:rsid w:val="007A6B05"/>
    <w:rsid w:val="007A761F"/>
    <w:rsid w:val="007B3BCE"/>
    <w:rsid w:val="007C19AA"/>
    <w:rsid w:val="007C19D7"/>
    <w:rsid w:val="007C1D60"/>
    <w:rsid w:val="007C2808"/>
    <w:rsid w:val="007C312B"/>
    <w:rsid w:val="007C669E"/>
    <w:rsid w:val="007D0005"/>
    <w:rsid w:val="007D25B7"/>
    <w:rsid w:val="007D64DE"/>
    <w:rsid w:val="007E03E3"/>
    <w:rsid w:val="007E2B11"/>
    <w:rsid w:val="007E33DE"/>
    <w:rsid w:val="007E4C61"/>
    <w:rsid w:val="007E5901"/>
    <w:rsid w:val="007E5FD3"/>
    <w:rsid w:val="007E7D5A"/>
    <w:rsid w:val="007F12CE"/>
    <w:rsid w:val="007F3791"/>
    <w:rsid w:val="007F497A"/>
    <w:rsid w:val="00800E14"/>
    <w:rsid w:val="008019F1"/>
    <w:rsid w:val="00804079"/>
    <w:rsid w:val="008042FD"/>
    <w:rsid w:val="00805F59"/>
    <w:rsid w:val="00806BD3"/>
    <w:rsid w:val="00814E70"/>
    <w:rsid w:val="00815FBD"/>
    <w:rsid w:val="008162AD"/>
    <w:rsid w:val="00817F2A"/>
    <w:rsid w:val="00825050"/>
    <w:rsid w:val="00832245"/>
    <w:rsid w:val="008343D7"/>
    <w:rsid w:val="00840498"/>
    <w:rsid w:val="00841973"/>
    <w:rsid w:val="008420A6"/>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39CF"/>
    <w:rsid w:val="00883B42"/>
    <w:rsid w:val="00886216"/>
    <w:rsid w:val="0088710E"/>
    <w:rsid w:val="00890667"/>
    <w:rsid w:val="008916FC"/>
    <w:rsid w:val="00895754"/>
    <w:rsid w:val="008A04B0"/>
    <w:rsid w:val="008A0927"/>
    <w:rsid w:val="008A7198"/>
    <w:rsid w:val="008A7BDC"/>
    <w:rsid w:val="008B1379"/>
    <w:rsid w:val="008B1469"/>
    <w:rsid w:val="008B271D"/>
    <w:rsid w:val="008B475A"/>
    <w:rsid w:val="008B6D39"/>
    <w:rsid w:val="008C05D0"/>
    <w:rsid w:val="008C1B2F"/>
    <w:rsid w:val="008C1D08"/>
    <w:rsid w:val="008D740A"/>
    <w:rsid w:val="008E5B16"/>
    <w:rsid w:val="008E7057"/>
    <w:rsid w:val="008F00DE"/>
    <w:rsid w:val="008F073F"/>
    <w:rsid w:val="008F15E4"/>
    <w:rsid w:val="008F30F8"/>
    <w:rsid w:val="008F4096"/>
    <w:rsid w:val="008F6439"/>
    <w:rsid w:val="00900919"/>
    <w:rsid w:val="009009ED"/>
    <w:rsid w:val="0090382B"/>
    <w:rsid w:val="00910B49"/>
    <w:rsid w:val="00911185"/>
    <w:rsid w:val="00911495"/>
    <w:rsid w:val="00911FEA"/>
    <w:rsid w:val="0091270A"/>
    <w:rsid w:val="0091400C"/>
    <w:rsid w:val="00914687"/>
    <w:rsid w:val="00915170"/>
    <w:rsid w:val="00920163"/>
    <w:rsid w:val="00921DCD"/>
    <w:rsid w:val="00922762"/>
    <w:rsid w:val="009227EE"/>
    <w:rsid w:val="00927E4D"/>
    <w:rsid w:val="009361FA"/>
    <w:rsid w:val="009416AE"/>
    <w:rsid w:val="009422B8"/>
    <w:rsid w:val="009426CD"/>
    <w:rsid w:val="009431AB"/>
    <w:rsid w:val="009438A7"/>
    <w:rsid w:val="00946110"/>
    <w:rsid w:val="00947AA3"/>
    <w:rsid w:val="00947BA6"/>
    <w:rsid w:val="00953B80"/>
    <w:rsid w:val="00960B1B"/>
    <w:rsid w:val="00963694"/>
    <w:rsid w:val="00963829"/>
    <w:rsid w:val="009653C8"/>
    <w:rsid w:val="0096679C"/>
    <w:rsid w:val="00966939"/>
    <w:rsid w:val="00967966"/>
    <w:rsid w:val="0097066B"/>
    <w:rsid w:val="00971FA9"/>
    <w:rsid w:val="00972339"/>
    <w:rsid w:val="0097243F"/>
    <w:rsid w:val="009725D8"/>
    <w:rsid w:val="0097529C"/>
    <w:rsid w:val="00982CBB"/>
    <w:rsid w:val="00983DAD"/>
    <w:rsid w:val="00984342"/>
    <w:rsid w:val="00984632"/>
    <w:rsid w:val="009846AB"/>
    <w:rsid w:val="00985ACC"/>
    <w:rsid w:val="00985CDE"/>
    <w:rsid w:val="00987906"/>
    <w:rsid w:val="00991C9D"/>
    <w:rsid w:val="00993871"/>
    <w:rsid w:val="0099563E"/>
    <w:rsid w:val="00996BCB"/>
    <w:rsid w:val="009A0719"/>
    <w:rsid w:val="009A0A05"/>
    <w:rsid w:val="009A2007"/>
    <w:rsid w:val="009A2266"/>
    <w:rsid w:val="009B39B1"/>
    <w:rsid w:val="009B433E"/>
    <w:rsid w:val="009B5B8D"/>
    <w:rsid w:val="009B6BE2"/>
    <w:rsid w:val="009B7116"/>
    <w:rsid w:val="009C1396"/>
    <w:rsid w:val="009C162D"/>
    <w:rsid w:val="009C1654"/>
    <w:rsid w:val="009C3C6E"/>
    <w:rsid w:val="009C4094"/>
    <w:rsid w:val="009C4524"/>
    <w:rsid w:val="009C4E81"/>
    <w:rsid w:val="009C6D7B"/>
    <w:rsid w:val="009C7714"/>
    <w:rsid w:val="009D1BF8"/>
    <w:rsid w:val="009D3B47"/>
    <w:rsid w:val="009D5785"/>
    <w:rsid w:val="009D58A2"/>
    <w:rsid w:val="009E0EF0"/>
    <w:rsid w:val="009E1A38"/>
    <w:rsid w:val="009E352D"/>
    <w:rsid w:val="009E5D34"/>
    <w:rsid w:val="009F140E"/>
    <w:rsid w:val="009F333D"/>
    <w:rsid w:val="009F3578"/>
    <w:rsid w:val="009F494C"/>
    <w:rsid w:val="00A00301"/>
    <w:rsid w:val="00A0033F"/>
    <w:rsid w:val="00A00E65"/>
    <w:rsid w:val="00A00E6C"/>
    <w:rsid w:val="00A02F4C"/>
    <w:rsid w:val="00A02F6D"/>
    <w:rsid w:val="00A05DAC"/>
    <w:rsid w:val="00A07993"/>
    <w:rsid w:val="00A108F5"/>
    <w:rsid w:val="00A14BD6"/>
    <w:rsid w:val="00A14E96"/>
    <w:rsid w:val="00A17A8C"/>
    <w:rsid w:val="00A22B86"/>
    <w:rsid w:val="00A24146"/>
    <w:rsid w:val="00A26AB9"/>
    <w:rsid w:val="00A26B35"/>
    <w:rsid w:val="00A30616"/>
    <w:rsid w:val="00A32604"/>
    <w:rsid w:val="00A3314E"/>
    <w:rsid w:val="00A35735"/>
    <w:rsid w:val="00A41704"/>
    <w:rsid w:val="00A5336A"/>
    <w:rsid w:val="00A60FC0"/>
    <w:rsid w:val="00A61999"/>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97619"/>
    <w:rsid w:val="00AA6AE7"/>
    <w:rsid w:val="00AA7BA7"/>
    <w:rsid w:val="00AA7EDC"/>
    <w:rsid w:val="00AB6645"/>
    <w:rsid w:val="00AB6707"/>
    <w:rsid w:val="00AC0E7B"/>
    <w:rsid w:val="00AC2E6D"/>
    <w:rsid w:val="00AC3749"/>
    <w:rsid w:val="00AC610C"/>
    <w:rsid w:val="00AC66E3"/>
    <w:rsid w:val="00AD12E3"/>
    <w:rsid w:val="00AD4ED8"/>
    <w:rsid w:val="00AD6A06"/>
    <w:rsid w:val="00AD6B37"/>
    <w:rsid w:val="00AE0CDC"/>
    <w:rsid w:val="00AE1701"/>
    <w:rsid w:val="00AE359E"/>
    <w:rsid w:val="00AE5AE6"/>
    <w:rsid w:val="00AE7F81"/>
    <w:rsid w:val="00AF0E4C"/>
    <w:rsid w:val="00AF3041"/>
    <w:rsid w:val="00AF30DF"/>
    <w:rsid w:val="00AF3317"/>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175A"/>
    <w:rsid w:val="00B42A16"/>
    <w:rsid w:val="00B4707A"/>
    <w:rsid w:val="00B51FE2"/>
    <w:rsid w:val="00B5283C"/>
    <w:rsid w:val="00B52CEA"/>
    <w:rsid w:val="00B66249"/>
    <w:rsid w:val="00B665F0"/>
    <w:rsid w:val="00B6674D"/>
    <w:rsid w:val="00B70728"/>
    <w:rsid w:val="00B7291D"/>
    <w:rsid w:val="00B73B39"/>
    <w:rsid w:val="00B75112"/>
    <w:rsid w:val="00B756ED"/>
    <w:rsid w:val="00B77CE2"/>
    <w:rsid w:val="00B80312"/>
    <w:rsid w:val="00B81103"/>
    <w:rsid w:val="00B82E88"/>
    <w:rsid w:val="00B86930"/>
    <w:rsid w:val="00B8736D"/>
    <w:rsid w:val="00B90E01"/>
    <w:rsid w:val="00B912B4"/>
    <w:rsid w:val="00B94CE0"/>
    <w:rsid w:val="00B956CA"/>
    <w:rsid w:val="00B962CF"/>
    <w:rsid w:val="00BA3E7B"/>
    <w:rsid w:val="00BA65BE"/>
    <w:rsid w:val="00BA697C"/>
    <w:rsid w:val="00BA7AE0"/>
    <w:rsid w:val="00BB02A0"/>
    <w:rsid w:val="00BB0E21"/>
    <w:rsid w:val="00BB1FE4"/>
    <w:rsid w:val="00BB23CF"/>
    <w:rsid w:val="00BB37AC"/>
    <w:rsid w:val="00BB42CD"/>
    <w:rsid w:val="00BB5999"/>
    <w:rsid w:val="00BB6725"/>
    <w:rsid w:val="00BB6735"/>
    <w:rsid w:val="00BB6E2A"/>
    <w:rsid w:val="00BC0695"/>
    <w:rsid w:val="00BC0FC8"/>
    <w:rsid w:val="00BC305B"/>
    <w:rsid w:val="00BC30D9"/>
    <w:rsid w:val="00BC65E7"/>
    <w:rsid w:val="00BC76E9"/>
    <w:rsid w:val="00BD14A6"/>
    <w:rsid w:val="00BD1690"/>
    <w:rsid w:val="00BD3405"/>
    <w:rsid w:val="00BD4366"/>
    <w:rsid w:val="00BD5290"/>
    <w:rsid w:val="00BD5637"/>
    <w:rsid w:val="00BD6C6B"/>
    <w:rsid w:val="00BE3E2D"/>
    <w:rsid w:val="00BE7E86"/>
    <w:rsid w:val="00BF0199"/>
    <w:rsid w:val="00BF104B"/>
    <w:rsid w:val="00BF538F"/>
    <w:rsid w:val="00BF667F"/>
    <w:rsid w:val="00C00CFC"/>
    <w:rsid w:val="00C06DF8"/>
    <w:rsid w:val="00C100F5"/>
    <w:rsid w:val="00C112F5"/>
    <w:rsid w:val="00C12F38"/>
    <w:rsid w:val="00C15820"/>
    <w:rsid w:val="00C15FF8"/>
    <w:rsid w:val="00C17C54"/>
    <w:rsid w:val="00C23C6B"/>
    <w:rsid w:val="00C255CE"/>
    <w:rsid w:val="00C26665"/>
    <w:rsid w:val="00C31534"/>
    <w:rsid w:val="00C31D72"/>
    <w:rsid w:val="00C3441E"/>
    <w:rsid w:val="00C370A6"/>
    <w:rsid w:val="00C401BF"/>
    <w:rsid w:val="00C411BB"/>
    <w:rsid w:val="00C416CD"/>
    <w:rsid w:val="00C424D7"/>
    <w:rsid w:val="00C42DFB"/>
    <w:rsid w:val="00C43776"/>
    <w:rsid w:val="00C447AA"/>
    <w:rsid w:val="00C45B46"/>
    <w:rsid w:val="00C47429"/>
    <w:rsid w:val="00C512FC"/>
    <w:rsid w:val="00C52B72"/>
    <w:rsid w:val="00C53F78"/>
    <w:rsid w:val="00C54C6D"/>
    <w:rsid w:val="00C5559F"/>
    <w:rsid w:val="00C561AD"/>
    <w:rsid w:val="00C56536"/>
    <w:rsid w:val="00C62F9B"/>
    <w:rsid w:val="00C643BB"/>
    <w:rsid w:val="00C64A56"/>
    <w:rsid w:val="00C65388"/>
    <w:rsid w:val="00C66C7D"/>
    <w:rsid w:val="00C73B86"/>
    <w:rsid w:val="00C74157"/>
    <w:rsid w:val="00C74FA9"/>
    <w:rsid w:val="00C760CD"/>
    <w:rsid w:val="00C76228"/>
    <w:rsid w:val="00C76336"/>
    <w:rsid w:val="00C81535"/>
    <w:rsid w:val="00C82D60"/>
    <w:rsid w:val="00C85964"/>
    <w:rsid w:val="00C96FA0"/>
    <w:rsid w:val="00C97867"/>
    <w:rsid w:val="00CA103B"/>
    <w:rsid w:val="00CA1B08"/>
    <w:rsid w:val="00CA1E91"/>
    <w:rsid w:val="00CA250D"/>
    <w:rsid w:val="00CA390D"/>
    <w:rsid w:val="00CA4D7C"/>
    <w:rsid w:val="00CA7482"/>
    <w:rsid w:val="00CA7EDD"/>
    <w:rsid w:val="00CA7F0F"/>
    <w:rsid w:val="00CB09C3"/>
    <w:rsid w:val="00CB2852"/>
    <w:rsid w:val="00CB5861"/>
    <w:rsid w:val="00CB5DEA"/>
    <w:rsid w:val="00CB7DF6"/>
    <w:rsid w:val="00CC4A28"/>
    <w:rsid w:val="00CD0F80"/>
    <w:rsid w:val="00CD29DE"/>
    <w:rsid w:val="00CD4A33"/>
    <w:rsid w:val="00CD7B98"/>
    <w:rsid w:val="00CE207A"/>
    <w:rsid w:val="00CE233E"/>
    <w:rsid w:val="00CE253C"/>
    <w:rsid w:val="00CE34FA"/>
    <w:rsid w:val="00CE459B"/>
    <w:rsid w:val="00CE5E50"/>
    <w:rsid w:val="00CE6DAC"/>
    <w:rsid w:val="00CF00C7"/>
    <w:rsid w:val="00CF041B"/>
    <w:rsid w:val="00CF1639"/>
    <w:rsid w:val="00CF3B47"/>
    <w:rsid w:val="00CF48C2"/>
    <w:rsid w:val="00CF4A91"/>
    <w:rsid w:val="00CF612E"/>
    <w:rsid w:val="00D02291"/>
    <w:rsid w:val="00D04FB9"/>
    <w:rsid w:val="00D06A14"/>
    <w:rsid w:val="00D07FF9"/>
    <w:rsid w:val="00D12075"/>
    <w:rsid w:val="00D13FD6"/>
    <w:rsid w:val="00D144CA"/>
    <w:rsid w:val="00D15A68"/>
    <w:rsid w:val="00D170D1"/>
    <w:rsid w:val="00D17CFD"/>
    <w:rsid w:val="00D2098C"/>
    <w:rsid w:val="00D20FA5"/>
    <w:rsid w:val="00D21FFC"/>
    <w:rsid w:val="00D23363"/>
    <w:rsid w:val="00D23529"/>
    <w:rsid w:val="00D24ABE"/>
    <w:rsid w:val="00D24CFB"/>
    <w:rsid w:val="00D27A93"/>
    <w:rsid w:val="00D3198F"/>
    <w:rsid w:val="00D32FF8"/>
    <w:rsid w:val="00D33815"/>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B2"/>
    <w:rsid w:val="00D549E0"/>
    <w:rsid w:val="00D557E5"/>
    <w:rsid w:val="00D60A2F"/>
    <w:rsid w:val="00D61219"/>
    <w:rsid w:val="00D640ED"/>
    <w:rsid w:val="00D65397"/>
    <w:rsid w:val="00D6655E"/>
    <w:rsid w:val="00D67092"/>
    <w:rsid w:val="00D677E7"/>
    <w:rsid w:val="00D70381"/>
    <w:rsid w:val="00D70616"/>
    <w:rsid w:val="00D71DD8"/>
    <w:rsid w:val="00D7270E"/>
    <w:rsid w:val="00D73551"/>
    <w:rsid w:val="00D74366"/>
    <w:rsid w:val="00D7624F"/>
    <w:rsid w:val="00D83636"/>
    <w:rsid w:val="00D83FB0"/>
    <w:rsid w:val="00D84073"/>
    <w:rsid w:val="00D840C3"/>
    <w:rsid w:val="00D85B67"/>
    <w:rsid w:val="00D8664C"/>
    <w:rsid w:val="00D91BBD"/>
    <w:rsid w:val="00D93BDB"/>
    <w:rsid w:val="00D93C06"/>
    <w:rsid w:val="00DA035E"/>
    <w:rsid w:val="00DA2A7E"/>
    <w:rsid w:val="00DA3B37"/>
    <w:rsid w:val="00DA5CEF"/>
    <w:rsid w:val="00DA7836"/>
    <w:rsid w:val="00DB0789"/>
    <w:rsid w:val="00DB0B67"/>
    <w:rsid w:val="00DB107B"/>
    <w:rsid w:val="00DB1736"/>
    <w:rsid w:val="00DB3A08"/>
    <w:rsid w:val="00DB6FE4"/>
    <w:rsid w:val="00DB7CC5"/>
    <w:rsid w:val="00DC1095"/>
    <w:rsid w:val="00DC1455"/>
    <w:rsid w:val="00DC2219"/>
    <w:rsid w:val="00DC287F"/>
    <w:rsid w:val="00DC42E5"/>
    <w:rsid w:val="00DC7EF8"/>
    <w:rsid w:val="00DD1B7E"/>
    <w:rsid w:val="00DD2A26"/>
    <w:rsid w:val="00DD529E"/>
    <w:rsid w:val="00DD6B7F"/>
    <w:rsid w:val="00DD7FE9"/>
    <w:rsid w:val="00DE4686"/>
    <w:rsid w:val="00DE761A"/>
    <w:rsid w:val="00DF069E"/>
    <w:rsid w:val="00DF2C68"/>
    <w:rsid w:val="00E0075E"/>
    <w:rsid w:val="00E00F46"/>
    <w:rsid w:val="00E056CD"/>
    <w:rsid w:val="00E058E4"/>
    <w:rsid w:val="00E07BDD"/>
    <w:rsid w:val="00E07D78"/>
    <w:rsid w:val="00E10E58"/>
    <w:rsid w:val="00E113EC"/>
    <w:rsid w:val="00E116DF"/>
    <w:rsid w:val="00E123C5"/>
    <w:rsid w:val="00E14E5D"/>
    <w:rsid w:val="00E15970"/>
    <w:rsid w:val="00E226A3"/>
    <w:rsid w:val="00E25057"/>
    <w:rsid w:val="00E32759"/>
    <w:rsid w:val="00E33AB0"/>
    <w:rsid w:val="00E348A5"/>
    <w:rsid w:val="00E40DAC"/>
    <w:rsid w:val="00E42755"/>
    <w:rsid w:val="00E42BF7"/>
    <w:rsid w:val="00E43B6D"/>
    <w:rsid w:val="00E43B72"/>
    <w:rsid w:val="00E47CD0"/>
    <w:rsid w:val="00E51257"/>
    <w:rsid w:val="00E52D15"/>
    <w:rsid w:val="00E54A89"/>
    <w:rsid w:val="00E614F2"/>
    <w:rsid w:val="00E634E5"/>
    <w:rsid w:val="00E65C23"/>
    <w:rsid w:val="00E6697D"/>
    <w:rsid w:val="00E66B9E"/>
    <w:rsid w:val="00E71175"/>
    <w:rsid w:val="00E72249"/>
    <w:rsid w:val="00E73FED"/>
    <w:rsid w:val="00E75290"/>
    <w:rsid w:val="00E803DC"/>
    <w:rsid w:val="00E852FB"/>
    <w:rsid w:val="00E8714F"/>
    <w:rsid w:val="00E9104D"/>
    <w:rsid w:val="00E9104F"/>
    <w:rsid w:val="00E9115F"/>
    <w:rsid w:val="00E913E2"/>
    <w:rsid w:val="00E932ED"/>
    <w:rsid w:val="00E965BD"/>
    <w:rsid w:val="00E9696F"/>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5A82"/>
    <w:rsid w:val="00EC65E3"/>
    <w:rsid w:val="00EC6633"/>
    <w:rsid w:val="00ED0988"/>
    <w:rsid w:val="00ED148D"/>
    <w:rsid w:val="00ED2338"/>
    <w:rsid w:val="00ED4B6B"/>
    <w:rsid w:val="00ED5F41"/>
    <w:rsid w:val="00EE229B"/>
    <w:rsid w:val="00EE637C"/>
    <w:rsid w:val="00EE7B55"/>
    <w:rsid w:val="00EF1B04"/>
    <w:rsid w:val="00EF3860"/>
    <w:rsid w:val="00EF42E4"/>
    <w:rsid w:val="00EF669D"/>
    <w:rsid w:val="00F01347"/>
    <w:rsid w:val="00F01483"/>
    <w:rsid w:val="00F064C2"/>
    <w:rsid w:val="00F067C7"/>
    <w:rsid w:val="00F14190"/>
    <w:rsid w:val="00F144D9"/>
    <w:rsid w:val="00F178D3"/>
    <w:rsid w:val="00F2402F"/>
    <w:rsid w:val="00F277B3"/>
    <w:rsid w:val="00F30A15"/>
    <w:rsid w:val="00F3117E"/>
    <w:rsid w:val="00F32C5C"/>
    <w:rsid w:val="00F338AF"/>
    <w:rsid w:val="00F34A5F"/>
    <w:rsid w:val="00F357CB"/>
    <w:rsid w:val="00F361D2"/>
    <w:rsid w:val="00F43004"/>
    <w:rsid w:val="00F45169"/>
    <w:rsid w:val="00F46966"/>
    <w:rsid w:val="00F46BCE"/>
    <w:rsid w:val="00F50A25"/>
    <w:rsid w:val="00F50D86"/>
    <w:rsid w:val="00F513B5"/>
    <w:rsid w:val="00F53CB8"/>
    <w:rsid w:val="00F53EA7"/>
    <w:rsid w:val="00F56E96"/>
    <w:rsid w:val="00F606E4"/>
    <w:rsid w:val="00F60E02"/>
    <w:rsid w:val="00F63FD9"/>
    <w:rsid w:val="00F64D09"/>
    <w:rsid w:val="00F66636"/>
    <w:rsid w:val="00F70E19"/>
    <w:rsid w:val="00F719CF"/>
    <w:rsid w:val="00F73E7A"/>
    <w:rsid w:val="00F76C6A"/>
    <w:rsid w:val="00F86132"/>
    <w:rsid w:val="00F869B5"/>
    <w:rsid w:val="00F875D9"/>
    <w:rsid w:val="00F876FB"/>
    <w:rsid w:val="00F931CB"/>
    <w:rsid w:val="00FA1E6D"/>
    <w:rsid w:val="00FA3AA0"/>
    <w:rsid w:val="00FA3CE9"/>
    <w:rsid w:val="00FA6D0F"/>
    <w:rsid w:val="00FA6E90"/>
    <w:rsid w:val="00FB0C8A"/>
    <w:rsid w:val="00FB1706"/>
    <w:rsid w:val="00FB39C9"/>
    <w:rsid w:val="00FB3E39"/>
    <w:rsid w:val="00FB6E23"/>
    <w:rsid w:val="00FB7FAE"/>
    <w:rsid w:val="00FC0003"/>
    <w:rsid w:val="00FC02D8"/>
    <w:rsid w:val="00FC4BD4"/>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0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iPriority w:val="99"/>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1181188">
      <w:bodyDiv w:val="1"/>
      <w:marLeft w:val="0"/>
      <w:marRight w:val="0"/>
      <w:marTop w:val="0"/>
      <w:marBottom w:val="0"/>
      <w:divBdr>
        <w:top w:val="none" w:sz="0" w:space="0" w:color="auto"/>
        <w:left w:val="none" w:sz="0" w:space="0" w:color="auto"/>
        <w:bottom w:val="none" w:sz="0" w:space="0" w:color="auto"/>
        <w:right w:val="none" w:sz="0" w:space="0" w:color="auto"/>
      </w:divBdr>
      <w:divsChild>
        <w:div w:id="1788311492">
          <w:marLeft w:val="0"/>
          <w:marRight w:val="0"/>
          <w:marTop w:val="0"/>
          <w:marBottom w:val="0"/>
          <w:divBdr>
            <w:top w:val="none" w:sz="0" w:space="0" w:color="auto"/>
            <w:left w:val="none" w:sz="0" w:space="0" w:color="auto"/>
            <w:bottom w:val="none" w:sz="0" w:space="0" w:color="auto"/>
            <w:right w:val="none" w:sz="0" w:space="0" w:color="auto"/>
          </w:divBdr>
          <w:divsChild>
            <w:div w:id="197931184">
              <w:marLeft w:val="0"/>
              <w:marRight w:val="0"/>
              <w:marTop w:val="0"/>
              <w:marBottom w:val="0"/>
              <w:divBdr>
                <w:top w:val="none" w:sz="0" w:space="0" w:color="auto"/>
                <w:left w:val="none" w:sz="0" w:space="0" w:color="auto"/>
                <w:bottom w:val="none" w:sz="0" w:space="0" w:color="auto"/>
                <w:right w:val="none" w:sz="0" w:space="0" w:color="auto"/>
              </w:divBdr>
            </w:div>
            <w:div w:id="1898279696">
              <w:marLeft w:val="0"/>
              <w:marRight w:val="0"/>
              <w:marTop w:val="0"/>
              <w:marBottom w:val="0"/>
              <w:divBdr>
                <w:top w:val="none" w:sz="0" w:space="0" w:color="auto"/>
                <w:left w:val="none" w:sz="0" w:space="0" w:color="auto"/>
                <w:bottom w:val="none" w:sz="0" w:space="0" w:color="auto"/>
                <w:right w:val="none" w:sz="0" w:space="0" w:color="auto"/>
              </w:divBdr>
            </w:div>
            <w:div w:id="1179351435">
              <w:marLeft w:val="0"/>
              <w:marRight w:val="0"/>
              <w:marTop w:val="0"/>
              <w:marBottom w:val="0"/>
              <w:divBdr>
                <w:top w:val="none" w:sz="0" w:space="0" w:color="auto"/>
                <w:left w:val="none" w:sz="0" w:space="0" w:color="auto"/>
                <w:bottom w:val="none" w:sz="0" w:space="0" w:color="auto"/>
                <w:right w:val="none" w:sz="0" w:space="0" w:color="auto"/>
              </w:divBdr>
            </w:div>
          </w:divsChild>
        </w:div>
        <w:div w:id="185754976">
          <w:marLeft w:val="0"/>
          <w:marRight w:val="0"/>
          <w:marTop w:val="0"/>
          <w:marBottom w:val="0"/>
          <w:divBdr>
            <w:top w:val="none" w:sz="0" w:space="0" w:color="auto"/>
            <w:left w:val="none" w:sz="0" w:space="0" w:color="auto"/>
            <w:bottom w:val="none" w:sz="0" w:space="0" w:color="auto"/>
            <w:right w:val="none" w:sz="0" w:space="0" w:color="auto"/>
          </w:divBdr>
          <w:divsChild>
            <w:div w:id="906650679">
              <w:marLeft w:val="0"/>
              <w:marRight w:val="0"/>
              <w:marTop w:val="0"/>
              <w:marBottom w:val="0"/>
              <w:divBdr>
                <w:top w:val="none" w:sz="0" w:space="0" w:color="auto"/>
                <w:left w:val="none" w:sz="0" w:space="0" w:color="auto"/>
                <w:bottom w:val="none" w:sz="0" w:space="0" w:color="auto"/>
                <w:right w:val="none" w:sz="0" w:space="0" w:color="auto"/>
              </w:divBdr>
            </w:div>
            <w:div w:id="661541143">
              <w:marLeft w:val="0"/>
              <w:marRight w:val="0"/>
              <w:marTop w:val="0"/>
              <w:marBottom w:val="0"/>
              <w:divBdr>
                <w:top w:val="none" w:sz="0" w:space="0" w:color="auto"/>
                <w:left w:val="none" w:sz="0" w:space="0" w:color="auto"/>
                <w:bottom w:val="none" w:sz="0" w:space="0" w:color="auto"/>
                <w:right w:val="none" w:sz="0" w:space="0" w:color="auto"/>
              </w:divBdr>
              <w:divsChild>
                <w:div w:id="1815367036">
                  <w:marLeft w:val="0"/>
                  <w:marRight w:val="0"/>
                  <w:marTop w:val="0"/>
                  <w:marBottom w:val="0"/>
                  <w:divBdr>
                    <w:top w:val="none" w:sz="0" w:space="0" w:color="auto"/>
                    <w:left w:val="none" w:sz="0" w:space="0" w:color="auto"/>
                    <w:bottom w:val="none" w:sz="0" w:space="0" w:color="auto"/>
                    <w:right w:val="none" w:sz="0" w:space="0" w:color="auto"/>
                  </w:divBdr>
                  <w:divsChild>
                    <w:div w:id="1997032506">
                      <w:marLeft w:val="0"/>
                      <w:marRight w:val="0"/>
                      <w:marTop w:val="0"/>
                      <w:marBottom w:val="0"/>
                      <w:divBdr>
                        <w:top w:val="none" w:sz="0" w:space="0" w:color="auto"/>
                        <w:left w:val="none" w:sz="0" w:space="0" w:color="auto"/>
                        <w:bottom w:val="none" w:sz="0" w:space="0" w:color="auto"/>
                        <w:right w:val="none" w:sz="0" w:space="0" w:color="auto"/>
                      </w:divBdr>
                      <w:divsChild>
                        <w:div w:id="983852882">
                          <w:marLeft w:val="0"/>
                          <w:marRight w:val="0"/>
                          <w:marTop w:val="0"/>
                          <w:marBottom w:val="0"/>
                          <w:divBdr>
                            <w:top w:val="none" w:sz="0" w:space="0" w:color="auto"/>
                            <w:left w:val="none" w:sz="0" w:space="0" w:color="auto"/>
                            <w:bottom w:val="none" w:sz="0" w:space="0" w:color="auto"/>
                            <w:right w:val="none" w:sz="0" w:space="0" w:color="auto"/>
                          </w:divBdr>
                        </w:div>
                        <w:div w:id="1744454056">
                          <w:marLeft w:val="0"/>
                          <w:marRight w:val="0"/>
                          <w:marTop w:val="0"/>
                          <w:marBottom w:val="0"/>
                          <w:divBdr>
                            <w:top w:val="none" w:sz="0" w:space="0" w:color="auto"/>
                            <w:left w:val="none" w:sz="0" w:space="0" w:color="auto"/>
                            <w:bottom w:val="none" w:sz="0" w:space="0" w:color="auto"/>
                            <w:right w:val="none" w:sz="0" w:space="0" w:color="auto"/>
                          </w:divBdr>
                        </w:div>
                      </w:divsChild>
                    </w:div>
                    <w:div w:id="1173574041">
                      <w:marLeft w:val="0"/>
                      <w:marRight w:val="0"/>
                      <w:marTop w:val="0"/>
                      <w:marBottom w:val="0"/>
                      <w:divBdr>
                        <w:top w:val="none" w:sz="0" w:space="0" w:color="auto"/>
                        <w:left w:val="none" w:sz="0" w:space="0" w:color="auto"/>
                        <w:bottom w:val="none" w:sz="0" w:space="0" w:color="auto"/>
                        <w:right w:val="none" w:sz="0" w:space="0" w:color="auto"/>
                      </w:divBdr>
                      <w:divsChild>
                        <w:div w:id="191597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31788">
          <w:marLeft w:val="0"/>
          <w:marRight w:val="0"/>
          <w:marTop w:val="0"/>
          <w:marBottom w:val="0"/>
          <w:divBdr>
            <w:top w:val="none" w:sz="0" w:space="0" w:color="auto"/>
            <w:left w:val="none" w:sz="0" w:space="0" w:color="auto"/>
            <w:bottom w:val="none" w:sz="0" w:space="0" w:color="auto"/>
            <w:right w:val="none" w:sz="0" w:space="0" w:color="auto"/>
          </w:divBdr>
        </w:div>
        <w:div w:id="923875033">
          <w:marLeft w:val="0"/>
          <w:marRight w:val="0"/>
          <w:marTop w:val="0"/>
          <w:marBottom w:val="0"/>
          <w:divBdr>
            <w:top w:val="none" w:sz="0" w:space="0" w:color="auto"/>
            <w:left w:val="none" w:sz="0" w:space="0" w:color="auto"/>
            <w:bottom w:val="none" w:sz="0" w:space="0" w:color="auto"/>
            <w:right w:val="none" w:sz="0" w:space="0" w:color="auto"/>
          </w:divBdr>
        </w:div>
        <w:div w:id="1092317555">
          <w:marLeft w:val="0"/>
          <w:marRight w:val="0"/>
          <w:marTop w:val="0"/>
          <w:marBottom w:val="0"/>
          <w:divBdr>
            <w:top w:val="none" w:sz="0" w:space="0" w:color="auto"/>
            <w:left w:val="none" w:sz="0" w:space="0" w:color="auto"/>
            <w:bottom w:val="none" w:sz="0" w:space="0" w:color="auto"/>
            <w:right w:val="none" w:sz="0" w:space="0" w:color="auto"/>
          </w:divBdr>
        </w:div>
        <w:div w:id="177544167">
          <w:marLeft w:val="0"/>
          <w:marRight w:val="0"/>
          <w:marTop w:val="0"/>
          <w:marBottom w:val="0"/>
          <w:divBdr>
            <w:top w:val="none" w:sz="0" w:space="0" w:color="auto"/>
            <w:left w:val="none" w:sz="0" w:space="0" w:color="auto"/>
            <w:bottom w:val="none" w:sz="0" w:space="0" w:color="auto"/>
            <w:right w:val="none" w:sz="0" w:space="0" w:color="auto"/>
          </w:divBdr>
          <w:divsChild>
            <w:div w:id="1990479074">
              <w:marLeft w:val="0"/>
              <w:marRight w:val="0"/>
              <w:marTop w:val="0"/>
              <w:marBottom w:val="0"/>
              <w:divBdr>
                <w:top w:val="none" w:sz="0" w:space="0" w:color="auto"/>
                <w:left w:val="none" w:sz="0" w:space="0" w:color="auto"/>
                <w:bottom w:val="none" w:sz="0" w:space="0" w:color="auto"/>
                <w:right w:val="none" w:sz="0" w:space="0" w:color="auto"/>
              </w:divBdr>
            </w:div>
            <w:div w:id="153534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697389094">
      <w:bodyDiv w:val="1"/>
      <w:marLeft w:val="0"/>
      <w:marRight w:val="0"/>
      <w:marTop w:val="0"/>
      <w:marBottom w:val="0"/>
      <w:divBdr>
        <w:top w:val="none" w:sz="0" w:space="0" w:color="auto"/>
        <w:left w:val="none" w:sz="0" w:space="0" w:color="auto"/>
        <w:bottom w:val="none" w:sz="0" w:space="0" w:color="auto"/>
        <w:right w:val="none" w:sz="0" w:space="0" w:color="auto"/>
      </w:divBdr>
      <w:divsChild>
        <w:div w:id="699166859">
          <w:marLeft w:val="0"/>
          <w:marRight w:val="0"/>
          <w:marTop w:val="0"/>
          <w:marBottom w:val="0"/>
          <w:divBdr>
            <w:top w:val="none" w:sz="0" w:space="0" w:color="auto"/>
            <w:left w:val="none" w:sz="0" w:space="0" w:color="auto"/>
            <w:bottom w:val="none" w:sz="0" w:space="0" w:color="auto"/>
            <w:right w:val="none" w:sz="0" w:space="0" w:color="auto"/>
          </w:divBdr>
          <w:divsChild>
            <w:div w:id="362832133">
              <w:marLeft w:val="0"/>
              <w:marRight w:val="0"/>
              <w:marTop w:val="0"/>
              <w:marBottom w:val="0"/>
              <w:divBdr>
                <w:top w:val="none" w:sz="0" w:space="0" w:color="auto"/>
                <w:left w:val="none" w:sz="0" w:space="0" w:color="auto"/>
                <w:bottom w:val="none" w:sz="0" w:space="0" w:color="auto"/>
                <w:right w:val="none" w:sz="0" w:space="0" w:color="auto"/>
              </w:divBdr>
              <w:divsChild>
                <w:div w:id="561479025">
                  <w:marLeft w:val="0"/>
                  <w:marRight w:val="0"/>
                  <w:marTop w:val="0"/>
                  <w:marBottom w:val="0"/>
                  <w:divBdr>
                    <w:top w:val="none" w:sz="0" w:space="0" w:color="auto"/>
                    <w:left w:val="none" w:sz="0" w:space="0" w:color="auto"/>
                    <w:bottom w:val="none" w:sz="0" w:space="0" w:color="auto"/>
                    <w:right w:val="none" w:sz="0" w:space="0" w:color="auto"/>
                  </w:divBdr>
                  <w:divsChild>
                    <w:div w:id="1775856538">
                      <w:marLeft w:val="0"/>
                      <w:marRight w:val="0"/>
                      <w:marTop w:val="0"/>
                      <w:marBottom w:val="0"/>
                      <w:divBdr>
                        <w:top w:val="none" w:sz="0" w:space="0" w:color="auto"/>
                        <w:left w:val="none" w:sz="0" w:space="0" w:color="auto"/>
                        <w:bottom w:val="none" w:sz="0" w:space="0" w:color="auto"/>
                        <w:right w:val="none" w:sz="0" w:space="0" w:color="auto"/>
                      </w:divBdr>
                      <w:divsChild>
                        <w:div w:id="884293889">
                          <w:marLeft w:val="0"/>
                          <w:marRight w:val="0"/>
                          <w:marTop w:val="0"/>
                          <w:marBottom w:val="0"/>
                          <w:divBdr>
                            <w:top w:val="none" w:sz="0" w:space="0" w:color="auto"/>
                            <w:left w:val="none" w:sz="0" w:space="0" w:color="auto"/>
                            <w:bottom w:val="none" w:sz="0" w:space="0" w:color="auto"/>
                            <w:right w:val="none" w:sz="0" w:space="0" w:color="auto"/>
                          </w:divBdr>
                          <w:divsChild>
                            <w:div w:id="23502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8198">
      <w:bodyDiv w:val="1"/>
      <w:marLeft w:val="0"/>
      <w:marRight w:val="0"/>
      <w:marTop w:val="0"/>
      <w:marBottom w:val="0"/>
      <w:divBdr>
        <w:top w:val="none" w:sz="0" w:space="0" w:color="auto"/>
        <w:left w:val="none" w:sz="0" w:space="0" w:color="auto"/>
        <w:bottom w:val="none" w:sz="0" w:space="0" w:color="auto"/>
        <w:right w:val="none" w:sz="0" w:space="0" w:color="auto"/>
      </w:divBdr>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9505596">
      <w:bodyDiv w:val="1"/>
      <w:marLeft w:val="0"/>
      <w:marRight w:val="0"/>
      <w:marTop w:val="0"/>
      <w:marBottom w:val="0"/>
      <w:divBdr>
        <w:top w:val="none" w:sz="0" w:space="0" w:color="auto"/>
        <w:left w:val="none" w:sz="0" w:space="0" w:color="auto"/>
        <w:bottom w:val="none" w:sz="0" w:space="0" w:color="auto"/>
        <w:right w:val="none" w:sz="0" w:space="0" w:color="auto"/>
      </w:divBdr>
      <w:divsChild>
        <w:div w:id="1090737013">
          <w:marLeft w:val="0"/>
          <w:marRight w:val="0"/>
          <w:marTop w:val="0"/>
          <w:marBottom w:val="0"/>
          <w:divBdr>
            <w:top w:val="none" w:sz="0" w:space="0" w:color="auto"/>
            <w:left w:val="none" w:sz="0" w:space="0" w:color="auto"/>
            <w:bottom w:val="none" w:sz="0" w:space="0" w:color="auto"/>
            <w:right w:val="none" w:sz="0" w:space="0" w:color="auto"/>
          </w:divBdr>
          <w:divsChild>
            <w:div w:id="1626934625">
              <w:marLeft w:val="0"/>
              <w:marRight w:val="0"/>
              <w:marTop w:val="0"/>
              <w:marBottom w:val="0"/>
              <w:divBdr>
                <w:top w:val="none" w:sz="0" w:space="0" w:color="auto"/>
                <w:left w:val="none" w:sz="0" w:space="0" w:color="auto"/>
                <w:bottom w:val="none" w:sz="0" w:space="0" w:color="auto"/>
                <w:right w:val="none" w:sz="0" w:space="0" w:color="auto"/>
              </w:divBdr>
              <w:divsChild>
                <w:div w:id="167059187">
                  <w:marLeft w:val="0"/>
                  <w:marRight w:val="0"/>
                  <w:marTop w:val="0"/>
                  <w:marBottom w:val="0"/>
                  <w:divBdr>
                    <w:top w:val="none" w:sz="0" w:space="0" w:color="auto"/>
                    <w:left w:val="none" w:sz="0" w:space="0" w:color="auto"/>
                    <w:bottom w:val="none" w:sz="0" w:space="0" w:color="auto"/>
                    <w:right w:val="none" w:sz="0" w:space="0" w:color="auto"/>
                  </w:divBdr>
                  <w:divsChild>
                    <w:div w:id="1903245897">
                      <w:marLeft w:val="0"/>
                      <w:marRight w:val="0"/>
                      <w:marTop w:val="0"/>
                      <w:marBottom w:val="0"/>
                      <w:divBdr>
                        <w:top w:val="none" w:sz="0" w:space="0" w:color="auto"/>
                        <w:left w:val="none" w:sz="0" w:space="0" w:color="auto"/>
                        <w:bottom w:val="none" w:sz="0" w:space="0" w:color="auto"/>
                        <w:right w:val="none" w:sz="0" w:space="0" w:color="auto"/>
                      </w:divBdr>
                      <w:divsChild>
                        <w:div w:id="811287806">
                          <w:marLeft w:val="0"/>
                          <w:marRight w:val="0"/>
                          <w:marTop w:val="0"/>
                          <w:marBottom w:val="0"/>
                          <w:divBdr>
                            <w:top w:val="none" w:sz="0" w:space="0" w:color="auto"/>
                            <w:left w:val="none" w:sz="0" w:space="0" w:color="auto"/>
                            <w:bottom w:val="none" w:sz="0" w:space="0" w:color="auto"/>
                            <w:right w:val="none" w:sz="0" w:space="0" w:color="auto"/>
                          </w:divBdr>
                          <w:divsChild>
                            <w:div w:id="9826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712427">
      <w:bodyDiv w:val="1"/>
      <w:marLeft w:val="0"/>
      <w:marRight w:val="0"/>
      <w:marTop w:val="0"/>
      <w:marBottom w:val="0"/>
      <w:divBdr>
        <w:top w:val="none" w:sz="0" w:space="0" w:color="auto"/>
        <w:left w:val="none" w:sz="0" w:space="0" w:color="auto"/>
        <w:bottom w:val="none" w:sz="0" w:space="0" w:color="auto"/>
        <w:right w:val="none" w:sz="0" w:space="0" w:color="auto"/>
      </w:divBdr>
      <w:divsChild>
        <w:div w:id="1248156096">
          <w:marLeft w:val="0"/>
          <w:marRight w:val="0"/>
          <w:marTop w:val="0"/>
          <w:marBottom w:val="0"/>
          <w:divBdr>
            <w:top w:val="none" w:sz="0" w:space="0" w:color="auto"/>
            <w:left w:val="none" w:sz="0" w:space="0" w:color="auto"/>
            <w:bottom w:val="none" w:sz="0" w:space="0" w:color="auto"/>
            <w:right w:val="none" w:sz="0" w:space="0" w:color="auto"/>
          </w:divBdr>
          <w:divsChild>
            <w:div w:id="1700545780">
              <w:marLeft w:val="0"/>
              <w:marRight w:val="0"/>
              <w:marTop w:val="0"/>
              <w:marBottom w:val="0"/>
              <w:divBdr>
                <w:top w:val="none" w:sz="0" w:space="0" w:color="auto"/>
                <w:left w:val="none" w:sz="0" w:space="0" w:color="auto"/>
                <w:bottom w:val="none" w:sz="0" w:space="0" w:color="auto"/>
                <w:right w:val="none" w:sz="0" w:space="0" w:color="auto"/>
              </w:divBdr>
            </w:div>
            <w:div w:id="1729063245">
              <w:marLeft w:val="0"/>
              <w:marRight w:val="0"/>
              <w:marTop w:val="0"/>
              <w:marBottom w:val="0"/>
              <w:divBdr>
                <w:top w:val="none" w:sz="0" w:space="0" w:color="auto"/>
                <w:left w:val="none" w:sz="0" w:space="0" w:color="auto"/>
                <w:bottom w:val="none" w:sz="0" w:space="0" w:color="auto"/>
                <w:right w:val="none" w:sz="0" w:space="0" w:color="auto"/>
              </w:divBdr>
            </w:div>
            <w:div w:id="1257977088">
              <w:marLeft w:val="0"/>
              <w:marRight w:val="0"/>
              <w:marTop w:val="0"/>
              <w:marBottom w:val="0"/>
              <w:divBdr>
                <w:top w:val="none" w:sz="0" w:space="0" w:color="auto"/>
                <w:left w:val="none" w:sz="0" w:space="0" w:color="auto"/>
                <w:bottom w:val="none" w:sz="0" w:space="0" w:color="auto"/>
                <w:right w:val="none" w:sz="0" w:space="0" w:color="auto"/>
              </w:divBdr>
            </w:div>
          </w:divsChild>
        </w:div>
        <w:div w:id="1188300201">
          <w:marLeft w:val="0"/>
          <w:marRight w:val="0"/>
          <w:marTop w:val="0"/>
          <w:marBottom w:val="0"/>
          <w:divBdr>
            <w:top w:val="none" w:sz="0" w:space="0" w:color="auto"/>
            <w:left w:val="none" w:sz="0" w:space="0" w:color="auto"/>
            <w:bottom w:val="none" w:sz="0" w:space="0" w:color="auto"/>
            <w:right w:val="none" w:sz="0" w:space="0" w:color="auto"/>
          </w:divBdr>
          <w:divsChild>
            <w:div w:id="1064714489">
              <w:marLeft w:val="0"/>
              <w:marRight w:val="0"/>
              <w:marTop w:val="0"/>
              <w:marBottom w:val="0"/>
              <w:divBdr>
                <w:top w:val="none" w:sz="0" w:space="0" w:color="auto"/>
                <w:left w:val="none" w:sz="0" w:space="0" w:color="auto"/>
                <w:bottom w:val="none" w:sz="0" w:space="0" w:color="auto"/>
                <w:right w:val="none" w:sz="0" w:space="0" w:color="auto"/>
              </w:divBdr>
            </w:div>
            <w:div w:id="1010523014">
              <w:marLeft w:val="0"/>
              <w:marRight w:val="0"/>
              <w:marTop w:val="0"/>
              <w:marBottom w:val="0"/>
              <w:divBdr>
                <w:top w:val="none" w:sz="0" w:space="0" w:color="auto"/>
                <w:left w:val="none" w:sz="0" w:space="0" w:color="auto"/>
                <w:bottom w:val="none" w:sz="0" w:space="0" w:color="auto"/>
                <w:right w:val="none" w:sz="0" w:space="0" w:color="auto"/>
              </w:divBdr>
              <w:divsChild>
                <w:div w:id="760444918">
                  <w:marLeft w:val="0"/>
                  <w:marRight w:val="0"/>
                  <w:marTop w:val="0"/>
                  <w:marBottom w:val="0"/>
                  <w:divBdr>
                    <w:top w:val="none" w:sz="0" w:space="0" w:color="auto"/>
                    <w:left w:val="none" w:sz="0" w:space="0" w:color="auto"/>
                    <w:bottom w:val="none" w:sz="0" w:space="0" w:color="auto"/>
                    <w:right w:val="none" w:sz="0" w:space="0" w:color="auto"/>
                  </w:divBdr>
                  <w:divsChild>
                    <w:div w:id="335957398">
                      <w:marLeft w:val="0"/>
                      <w:marRight w:val="0"/>
                      <w:marTop w:val="0"/>
                      <w:marBottom w:val="0"/>
                      <w:divBdr>
                        <w:top w:val="none" w:sz="0" w:space="0" w:color="auto"/>
                        <w:left w:val="none" w:sz="0" w:space="0" w:color="auto"/>
                        <w:bottom w:val="none" w:sz="0" w:space="0" w:color="auto"/>
                        <w:right w:val="none" w:sz="0" w:space="0" w:color="auto"/>
                      </w:divBdr>
                      <w:divsChild>
                        <w:div w:id="616760798">
                          <w:marLeft w:val="0"/>
                          <w:marRight w:val="0"/>
                          <w:marTop w:val="0"/>
                          <w:marBottom w:val="0"/>
                          <w:divBdr>
                            <w:top w:val="none" w:sz="0" w:space="0" w:color="auto"/>
                            <w:left w:val="none" w:sz="0" w:space="0" w:color="auto"/>
                            <w:bottom w:val="none" w:sz="0" w:space="0" w:color="auto"/>
                            <w:right w:val="none" w:sz="0" w:space="0" w:color="auto"/>
                          </w:divBdr>
                        </w:div>
                        <w:div w:id="371805453">
                          <w:marLeft w:val="0"/>
                          <w:marRight w:val="0"/>
                          <w:marTop w:val="0"/>
                          <w:marBottom w:val="0"/>
                          <w:divBdr>
                            <w:top w:val="none" w:sz="0" w:space="0" w:color="auto"/>
                            <w:left w:val="none" w:sz="0" w:space="0" w:color="auto"/>
                            <w:bottom w:val="none" w:sz="0" w:space="0" w:color="auto"/>
                            <w:right w:val="none" w:sz="0" w:space="0" w:color="auto"/>
                          </w:divBdr>
                        </w:div>
                      </w:divsChild>
                    </w:div>
                    <w:div w:id="1043288378">
                      <w:marLeft w:val="0"/>
                      <w:marRight w:val="0"/>
                      <w:marTop w:val="0"/>
                      <w:marBottom w:val="0"/>
                      <w:divBdr>
                        <w:top w:val="none" w:sz="0" w:space="0" w:color="auto"/>
                        <w:left w:val="none" w:sz="0" w:space="0" w:color="auto"/>
                        <w:bottom w:val="none" w:sz="0" w:space="0" w:color="auto"/>
                        <w:right w:val="none" w:sz="0" w:space="0" w:color="auto"/>
                      </w:divBdr>
                      <w:divsChild>
                        <w:div w:id="50836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747414">
          <w:marLeft w:val="0"/>
          <w:marRight w:val="0"/>
          <w:marTop w:val="0"/>
          <w:marBottom w:val="0"/>
          <w:divBdr>
            <w:top w:val="none" w:sz="0" w:space="0" w:color="auto"/>
            <w:left w:val="none" w:sz="0" w:space="0" w:color="auto"/>
            <w:bottom w:val="none" w:sz="0" w:space="0" w:color="auto"/>
            <w:right w:val="none" w:sz="0" w:space="0" w:color="auto"/>
          </w:divBdr>
        </w:div>
        <w:div w:id="1044258970">
          <w:marLeft w:val="0"/>
          <w:marRight w:val="0"/>
          <w:marTop w:val="0"/>
          <w:marBottom w:val="0"/>
          <w:divBdr>
            <w:top w:val="none" w:sz="0" w:space="0" w:color="auto"/>
            <w:left w:val="none" w:sz="0" w:space="0" w:color="auto"/>
            <w:bottom w:val="none" w:sz="0" w:space="0" w:color="auto"/>
            <w:right w:val="none" w:sz="0" w:space="0" w:color="auto"/>
          </w:divBdr>
        </w:div>
        <w:div w:id="1013528775">
          <w:marLeft w:val="0"/>
          <w:marRight w:val="0"/>
          <w:marTop w:val="0"/>
          <w:marBottom w:val="0"/>
          <w:divBdr>
            <w:top w:val="none" w:sz="0" w:space="0" w:color="auto"/>
            <w:left w:val="none" w:sz="0" w:space="0" w:color="auto"/>
            <w:bottom w:val="none" w:sz="0" w:space="0" w:color="auto"/>
            <w:right w:val="none" w:sz="0" w:space="0" w:color="auto"/>
          </w:divBdr>
        </w:div>
        <w:div w:id="758793226">
          <w:marLeft w:val="0"/>
          <w:marRight w:val="0"/>
          <w:marTop w:val="0"/>
          <w:marBottom w:val="0"/>
          <w:divBdr>
            <w:top w:val="none" w:sz="0" w:space="0" w:color="auto"/>
            <w:left w:val="none" w:sz="0" w:space="0" w:color="auto"/>
            <w:bottom w:val="none" w:sz="0" w:space="0" w:color="auto"/>
            <w:right w:val="none" w:sz="0" w:space="0" w:color="auto"/>
          </w:divBdr>
          <w:divsChild>
            <w:div w:id="1197230165">
              <w:marLeft w:val="0"/>
              <w:marRight w:val="0"/>
              <w:marTop w:val="0"/>
              <w:marBottom w:val="0"/>
              <w:divBdr>
                <w:top w:val="none" w:sz="0" w:space="0" w:color="auto"/>
                <w:left w:val="none" w:sz="0" w:space="0" w:color="auto"/>
                <w:bottom w:val="none" w:sz="0" w:space="0" w:color="auto"/>
                <w:right w:val="none" w:sz="0" w:space="0" w:color="auto"/>
              </w:divBdr>
            </w:div>
            <w:div w:id="90433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28894">
      <w:bodyDiv w:val="1"/>
      <w:marLeft w:val="0"/>
      <w:marRight w:val="0"/>
      <w:marTop w:val="0"/>
      <w:marBottom w:val="0"/>
      <w:divBdr>
        <w:top w:val="none" w:sz="0" w:space="0" w:color="auto"/>
        <w:left w:val="none" w:sz="0" w:space="0" w:color="auto"/>
        <w:bottom w:val="none" w:sz="0" w:space="0" w:color="auto"/>
        <w:right w:val="none" w:sz="0" w:space="0" w:color="auto"/>
      </w:divBdr>
      <w:divsChild>
        <w:div w:id="1046952880">
          <w:marLeft w:val="0"/>
          <w:marRight w:val="0"/>
          <w:marTop w:val="0"/>
          <w:marBottom w:val="0"/>
          <w:divBdr>
            <w:top w:val="none" w:sz="0" w:space="0" w:color="auto"/>
            <w:left w:val="none" w:sz="0" w:space="0" w:color="auto"/>
            <w:bottom w:val="none" w:sz="0" w:space="0" w:color="auto"/>
            <w:right w:val="none" w:sz="0" w:space="0" w:color="auto"/>
          </w:divBdr>
          <w:divsChild>
            <w:div w:id="1697802776">
              <w:marLeft w:val="0"/>
              <w:marRight w:val="0"/>
              <w:marTop w:val="0"/>
              <w:marBottom w:val="0"/>
              <w:divBdr>
                <w:top w:val="none" w:sz="0" w:space="0" w:color="auto"/>
                <w:left w:val="none" w:sz="0" w:space="0" w:color="auto"/>
                <w:bottom w:val="none" w:sz="0" w:space="0" w:color="auto"/>
                <w:right w:val="none" w:sz="0" w:space="0" w:color="auto"/>
              </w:divBdr>
              <w:divsChild>
                <w:div w:id="278293958">
                  <w:marLeft w:val="0"/>
                  <w:marRight w:val="0"/>
                  <w:marTop w:val="0"/>
                  <w:marBottom w:val="0"/>
                  <w:divBdr>
                    <w:top w:val="none" w:sz="0" w:space="0" w:color="auto"/>
                    <w:left w:val="none" w:sz="0" w:space="0" w:color="auto"/>
                    <w:bottom w:val="none" w:sz="0" w:space="0" w:color="auto"/>
                    <w:right w:val="none" w:sz="0" w:space="0" w:color="auto"/>
                  </w:divBdr>
                  <w:divsChild>
                    <w:div w:id="820730016">
                      <w:marLeft w:val="0"/>
                      <w:marRight w:val="0"/>
                      <w:marTop w:val="0"/>
                      <w:marBottom w:val="0"/>
                      <w:divBdr>
                        <w:top w:val="none" w:sz="0" w:space="0" w:color="auto"/>
                        <w:left w:val="none" w:sz="0" w:space="0" w:color="auto"/>
                        <w:bottom w:val="none" w:sz="0" w:space="0" w:color="auto"/>
                        <w:right w:val="none" w:sz="0" w:space="0" w:color="auto"/>
                      </w:divBdr>
                      <w:divsChild>
                        <w:div w:id="560599596">
                          <w:marLeft w:val="0"/>
                          <w:marRight w:val="0"/>
                          <w:marTop w:val="0"/>
                          <w:marBottom w:val="0"/>
                          <w:divBdr>
                            <w:top w:val="none" w:sz="0" w:space="0" w:color="auto"/>
                            <w:left w:val="none" w:sz="0" w:space="0" w:color="auto"/>
                            <w:bottom w:val="none" w:sz="0" w:space="0" w:color="auto"/>
                            <w:right w:val="none" w:sz="0" w:space="0" w:color="auto"/>
                          </w:divBdr>
                          <w:divsChild>
                            <w:div w:id="2209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 w:id="2083985456">
      <w:bodyDiv w:val="1"/>
      <w:marLeft w:val="0"/>
      <w:marRight w:val="0"/>
      <w:marTop w:val="0"/>
      <w:marBottom w:val="0"/>
      <w:divBdr>
        <w:top w:val="none" w:sz="0" w:space="0" w:color="auto"/>
        <w:left w:val="none" w:sz="0" w:space="0" w:color="auto"/>
        <w:bottom w:val="none" w:sz="0" w:space="0" w:color="auto"/>
        <w:right w:val="none" w:sz="0" w:space="0" w:color="auto"/>
      </w:divBdr>
      <w:divsChild>
        <w:div w:id="1858154059">
          <w:marLeft w:val="0"/>
          <w:marRight w:val="0"/>
          <w:marTop w:val="0"/>
          <w:marBottom w:val="0"/>
          <w:divBdr>
            <w:top w:val="none" w:sz="0" w:space="0" w:color="auto"/>
            <w:left w:val="none" w:sz="0" w:space="0" w:color="auto"/>
            <w:bottom w:val="none" w:sz="0" w:space="0" w:color="auto"/>
            <w:right w:val="none" w:sz="0" w:space="0" w:color="auto"/>
          </w:divBdr>
          <w:divsChild>
            <w:div w:id="1727727196">
              <w:marLeft w:val="0"/>
              <w:marRight w:val="0"/>
              <w:marTop w:val="0"/>
              <w:marBottom w:val="0"/>
              <w:divBdr>
                <w:top w:val="none" w:sz="0" w:space="0" w:color="auto"/>
                <w:left w:val="none" w:sz="0" w:space="0" w:color="auto"/>
                <w:bottom w:val="none" w:sz="0" w:space="0" w:color="auto"/>
                <w:right w:val="none" w:sz="0" w:space="0" w:color="auto"/>
              </w:divBdr>
              <w:divsChild>
                <w:div w:id="42295172">
                  <w:marLeft w:val="0"/>
                  <w:marRight w:val="0"/>
                  <w:marTop w:val="0"/>
                  <w:marBottom w:val="0"/>
                  <w:divBdr>
                    <w:top w:val="none" w:sz="0" w:space="0" w:color="auto"/>
                    <w:left w:val="none" w:sz="0" w:space="0" w:color="auto"/>
                    <w:bottom w:val="none" w:sz="0" w:space="0" w:color="auto"/>
                    <w:right w:val="none" w:sz="0" w:space="0" w:color="auto"/>
                  </w:divBdr>
                  <w:divsChild>
                    <w:div w:id="647055855">
                      <w:marLeft w:val="0"/>
                      <w:marRight w:val="0"/>
                      <w:marTop w:val="0"/>
                      <w:marBottom w:val="0"/>
                      <w:divBdr>
                        <w:top w:val="none" w:sz="0" w:space="0" w:color="auto"/>
                        <w:left w:val="none" w:sz="0" w:space="0" w:color="auto"/>
                        <w:bottom w:val="none" w:sz="0" w:space="0" w:color="auto"/>
                        <w:right w:val="none" w:sz="0" w:space="0" w:color="auto"/>
                      </w:divBdr>
                      <w:divsChild>
                        <w:div w:id="216866862">
                          <w:marLeft w:val="0"/>
                          <w:marRight w:val="0"/>
                          <w:marTop w:val="0"/>
                          <w:marBottom w:val="0"/>
                          <w:divBdr>
                            <w:top w:val="none" w:sz="0" w:space="0" w:color="auto"/>
                            <w:left w:val="none" w:sz="0" w:space="0" w:color="auto"/>
                            <w:bottom w:val="none" w:sz="0" w:space="0" w:color="auto"/>
                            <w:right w:val="none" w:sz="0" w:space="0" w:color="auto"/>
                          </w:divBdr>
                          <w:divsChild>
                            <w:div w:id="172649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aloressantander.es/" TargetMode="External"/><Relationship Id="rId13" Type="http://schemas.openxmlformats.org/officeDocument/2006/relationships/image" Target="media/image4.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uaabogados.es/valores-santander-%C2%BFqu%C3%A9-son" TargetMode="External"/><Relationship Id="rId14" Type="http://schemas.openxmlformats.org/officeDocument/2006/relationships/image" Target="media/image5.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3DFB4-64A6-4D0B-9889-D36E62FD1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14</Pages>
  <Words>2405</Words>
  <Characters>13228</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15602</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6</cp:revision>
  <cp:lastPrinted>2016-07-08T07:04:00Z</cp:lastPrinted>
  <dcterms:created xsi:type="dcterms:W3CDTF">2016-09-13T14:59:00Z</dcterms:created>
  <dcterms:modified xsi:type="dcterms:W3CDTF">2016-09-14T06:49:00Z</dcterms:modified>
</cp:coreProperties>
</file>