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ED0" w:rsidRDefault="00823ED0" w:rsidP="00823ED0">
      <w:pPr>
        <w:spacing w:line="360" w:lineRule="auto"/>
        <w:jc w:val="both"/>
        <w:rPr>
          <w:rFonts w:ascii="Arial" w:hAnsi="Arial" w:cs="Arial"/>
        </w:rPr>
      </w:pPr>
      <w:r w:rsidRPr="00823ED0">
        <w:rPr>
          <w:rFonts w:ascii="Arial" w:hAnsi="Arial" w:cs="Arial"/>
          <w:b/>
        </w:rPr>
        <w:t>DERECHOS. Sobre los intereses remuneratorios y la usura</w:t>
      </w:r>
      <w:r>
        <w:rPr>
          <w:rFonts w:ascii="Arial" w:hAnsi="Arial" w:cs="Arial"/>
        </w:rPr>
        <w:t xml:space="preserve">. </w:t>
      </w:r>
      <w:r w:rsidRPr="00823ED0">
        <w:rPr>
          <w:rFonts w:ascii="Arial" w:hAnsi="Arial" w:cs="Arial"/>
        </w:rPr>
        <w:t xml:space="preserve">Durante este año 2015 parece que el Tribunal Supremo ha decidido acometer la difícil tarea de poner orden en los  tipos de interés en los créditos personales. Esta labor comenzó el 22 de abril de 2015 cuando el </w:t>
      </w:r>
      <w:proofErr w:type="spellStart"/>
      <w:r w:rsidRPr="00823ED0">
        <w:rPr>
          <w:rFonts w:ascii="Arial" w:hAnsi="Arial" w:cs="Arial"/>
        </w:rPr>
        <w:t>TS</w:t>
      </w:r>
      <w:proofErr w:type="spellEnd"/>
      <w:r w:rsidRPr="00823ED0">
        <w:rPr>
          <w:rFonts w:ascii="Arial" w:hAnsi="Arial" w:cs="Arial"/>
        </w:rPr>
        <w:t xml:space="preserve"> sentenció que “en los préstamos personales sin garantía hipotecaria concertados por consumidores es abusiva la condición general que establece un interés de demora que supere en más de dos puntos porcentuales el interés remuneratorio.”</w:t>
      </w:r>
    </w:p>
    <w:p w:rsidR="00823ED0" w:rsidRPr="00823ED0" w:rsidRDefault="00823ED0" w:rsidP="00823ED0">
      <w:pPr>
        <w:spacing w:line="360" w:lineRule="auto"/>
        <w:jc w:val="both"/>
        <w:rPr>
          <w:rFonts w:ascii="Arial" w:hAnsi="Arial" w:cs="Arial"/>
        </w:rPr>
      </w:pPr>
    </w:p>
    <w:p w:rsidR="00823ED0" w:rsidRDefault="00823ED0" w:rsidP="00823ED0">
      <w:pPr>
        <w:spacing w:line="360" w:lineRule="auto"/>
        <w:jc w:val="both"/>
        <w:rPr>
          <w:rFonts w:ascii="Arial" w:hAnsi="Arial" w:cs="Arial"/>
        </w:rPr>
      </w:pPr>
      <w:r w:rsidRPr="00823ED0">
        <w:rPr>
          <w:rFonts w:ascii="Arial" w:hAnsi="Arial" w:cs="Arial"/>
        </w:rPr>
        <w:t>Pues bien, recientemente le ha tocado el turno a los intereses remuneratorios, sobre los que el Tribunal Supremo se ha pronunciado en su reciente sentencia de 25 de noviembre de 2015.</w:t>
      </w:r>
    </w:p>
    <w:p w:rsidR="00823ED0" w:rsidRPr="00823ED0" w:rsidRDefault="00823ED0" w:rsidP="00823ED0">
      <w:pPr>
        <w:spacing w:line="360" w:lineRule="auto"/>
        <w:jc w:val="both"/>
        <w:rPr>
          <w:rFonts w:ascii="Arial" w:hAnsi="Arial" w:cs="Arial"/>
        </w:rPr>
      </w:pPr>
    </w:p>
    <w:p w:rsidR="00823ED0" w:rsidRPr="00823ED0" w:rsidRDefault="00823ED0" w:rsidP="00823ED0">
      <w:pPr>
        <w:spacing w:line="360" w:lineRule="auto"/>
        <w:jc w:val="both"/>
        <w:rPr>
          <w:rFonts w:ascii="Arial" w:hAnsi="Arial" w:cs="Arial"/>
        </w:rPr>
      </w:pPr>
      <w:r w:rsidRPr="00823ED0">
        <w:rPr>
          <w:rFonts w:ascii="Arial" w:hAnsi="Arial" w:cs="Arial"/>
        </w:rPr>
        <w:t>En este post analizaré brevemente la sentencia de 25 de noviembre de 2015 deteniéndome en las 9 preguntas que resuelve esta sentencia en relación con los intereses remuneratorios abusivos.</w:t>
      </w:r>
    </w:p>
    <w:p w:rsidR="00823ED0" w:rsidRPr="00823ED0" w:rsidRDefault="00823ED0" w:rsidP="00823ED0">
      <w:pPr>
        <w:spacing w:line="360" w:lineRule="auto"/>
        <w:jc w:val="both"/>
        <w:rPr>
          <w:rFonts w:ascii="Arial" w:hAnsi="Arial" w:cs="Arial"/>
        </w:rPr>
      </w:pPr>
      <w:r w:rsidRPr="00823ED0">
        <w:rPr>
          <w:rFonts w:ascii="Arial" w:hAnsi="Arial" w:cs="Arial"/>
        </w:rPr>
        <w:t xml:space="preserve"> </w:t>
      </w:r>
    </w:p>
    <w:p w:rsidR="00823ED0" w:rsidRPr="00823ED0" w:rsidRDefault="00823ED0" w:rsidP="00823ED0">
      <w:pPr>
        <w:spacing w:line="360" w:lineRule="auto"/>
        <w:jc w:val="both"/>
        <w:rPr>
          <w:rFonts w:ascii="Arial" w:hAnsi="Arial" w:cs="Arial"/>
        </w:rPr>
      </w:pPr>
      <w:r w:rsidRPr="00823ED0">
        <w:rPr>
          <w:rFonts w:ascii="Arial" w:hAnsi="Arial" w:cs="Arial"/>
        </w:rPr>
        <w:t xml:space="preserve">Contrato de “préstamo personal </w:t>
      </w:r>
      <w:proofErr w:type="spellStart"/>
      <w:r w:rsidRPr="00823ED0">
        <w:rPr>
          <w:rFonts w:ascii="Arial" w:hAnsi="Arial" w:cs="Arial"/>
        </w:rPr>
        <w:t>revolving</w:t>
      </w:r>
      <w:proofErr w:type="spellEnd"/>
      <w:r w:rsidRPr="00823ED0">
        <w:rPr>
          <w:rFonts w:ascii="Arial" w:hAnsi="Arial" w:cs="Arial"/>
        </w:rPr>
        <w:t xml:space="preserve"> </w:t>
      </w:r>
      <w:proofErr w:type="spellStart"/>
      <w:r w:rsidRPr="00823ED0">
        <w:rPr>
          <w:rFonts w:ascii="Arial" w:hAnsi="Arial" w:cs="Arial"/>
        </w:rPr>
        <w:t>Mediatis</w:t>
      </w:r>
      <w:proofErr w:type="spellEnd"/>
      <w:r w:rsidRPr="00823ED0">
        <w:rPr>
          <w:rFonts w:ascii="Arial" w:hAnsi="Arial" w:cs="Arial"/>
        </w:rPr>
        <w:t xml:space="preserve"> Banco </w:t>
      </w:r>
      <w:proofErr w:type="spellStart"/>
      <w:r w:rsidRPr="00823ED0">
        <w:rPr>
          <w:rFonts w:ascii="Arial" w:hAnsi="Arial" w:cs="Arial"/>
        </w:rPr>
        <w:t>Sygma</w:t>
      </w:r>
      <w:proofErr w:type="spellEnd"/>
      <w:r w:rsidRPr="00823ED0">
        <w:rPr>
          <w:rFonts w:ascii="Arial" w:hAnsi="Arial" w:cs="Arial"/>
        </w:rPr>
        <w:t xml:space="preserve">”, consistente en un contrato de crédito que le permitía hacer disposiciones mediante llamadas telefónicas o mediante el uso de una tarjeta expedida por Banco </w:t>
      </w:r>
      <w:proofErr w:type="spellStart"/>
      <w:r w:rsidRPr="00823ED0">
        <w:rPr>
          <w:rFonts w:ascii="Arial" w:hAnsi="Arial" w:cs="Arial"/>
        </w:rPr>
        <w:t>Sygma</w:t>
      </w:r>
      <w:proofErr w:type="spellEnd"/>
      <w:r w:rsidRPr="00823ED0">
        <w:rPr>
          <w:rFonts w:ascii="Arial" w:hAnsi="Arial" w:cs="Arial"/>
        </w:rPr>
        <w:t xml:space="preserve">, hasta un límite de 500.000 pesetas (3.005,06 euros), límite que, según se decía en el contrato, «podrá ser modificado por Banco </w:t>
      </w:r>
      <w:proofErr w:type="spellStart"/>
      <w:r w:rsidRPr="00823ED0">
        <w:rPr>
          <w:rFonts w:ascii="Arial" w:hAnsi="Arial" w:cs="Arial"/>
        </w:rPr>
        <w:t>Sygma</w:t>
      </w:r>
      <w:proofErr w:type="spellEnd"/>
      <w:r w:rsidRPr="00823ED0">
        <w:rPr>
          <w:rFonts w:ascii="Arial" w:hAnsi="Arial" w:cs="Arial"/>
        </w:rPr>
        <w:t xml:space="preserve"> Hispania». El tipo de interés remuneratorio fijado en el contrato era del 24,6% TAE, y el interés de demora, el resultante de incrementar el interés remuneratorio en 4,5 puntos porcentuales. Tras una disposición inicial de 1.803,04 euros, durante varios años el Sr. Cantarero Solórzano estuvo realizando disposiciones a cargo de dicho crédito, cuyo saldo deudor superó ampliamente el límite inicialmente fijado.</w:t>
      </w:r>
    </w:p>
    <w:p w:rsidR="00823ED0" w:rsidRPr="00823ED0" w:rsidRDefault="00823ED0" w:rsidP="00823ED0">
      <w:pPr>
        <w:spacing w:line="360" w:lineRule="auto"/>
        <w:jc w:val="both"/>
        <w:rPr>
          <w:rFonts w:ascii="Arial" w:hAnsi="Arial" w:cs="Arial"/>
        </w:rPr>
      </w:pPr>
      <w:r w:rsidRPr="00823ED0">
        <w:rPr>
          <w:rFonts w:ascii="Arial" w:hAnsi="Arial" w:cs="Arial"/>
        </w:rPr>
        <w:lastRenderedPageBreak/>
        <w:t>En el año 2009 comenzó a devolver impagadas las cuotas mensuales que le fueron giradas, lo que motivó el devengo de comisiones por impago e intereses de demora.</w:t>
      </w:r>
    </w:p>
    <w:p w:rsidR="00823ED0" w:rsidRDefault="00823ED0" w:rsidP="00823ED0">
      <w:pPr>
        <w:spacing w:line="360" w:lineRule="auto"/>
        <w:jc w:val="both"/>
        <w:rPr>
          <w:rFonts w:ascii="Arial" w:hAnsi="Arial" w:cs="Arial"/>
        </w:rPr>
      </w:pPr>
    </w:p>
    <w:p w:rsidR="00823ED0" w:rsidRPr="00823ED0" w:rsidRDefault="00823ED0" w:rsidP="00823ED0">
      <w:pPr>
        <w:spacing w:line="360" w:lineRule="auto"/>
        <w:jc w:val="both"/>
        <w:rPr>
          <w:rFonts w:ascii="Arial" w:hAnsi="Arial" w:cs="Arial"/>
        </w:rPr>
      </w:pPr>
      <w:r w:rsidRPr="00823ED0">
        <w:rPr>
          <w:rFonts w:ascii="Arial" w:hAnsi="Arial" w:cs="Arial"/>
        </w:rPr>
        <w:t xml:space="preserve">Se plantea en el recurso la cuestión del carácter usurario de un “crédito </w:t>
      </w:r>
      <w:proofErr w:type="spellStart"/>
      <w:r w:rsidRPr="00823ED0">
        <w:rPr>
          <w:rFonts w:ascii="Arial" w:hAnsi="Arial" w:cs="Arial"/>
        </w:rPr>
        <w:t>revolving</w:t>
      </w:r>
      <w:proofErr w:type="spellEnd"/>
      <w:r w:rsidRPr="00823ED0">
        <w:rPr>
          <w:rFonts w:ascii="Arial" w:hAnsi="Arial" w:cs="Arial"/>
        </w:rPr>
        <w:t>” concedido por una entidad financiera a un consumidor a un tipo de interés remuneratorio del 24,6% TAE.</w:t>
      </w:r>
    </w:p>
    <w:p w:rsidR="00823ED0" w:rsidRPr="00823ED0" w:rsidRDefault="00823ED0" w:rsidP="00823ED0">
      <w:pPr>
        <w:spacing w:line="360" w:lineRule="auto"/>
        <w:jc w:val="both"/>
        <w:rPr>
          <w:rFonts w:ascii="Arial" w:hAnsi="Arial" w:cs="Arial"/>
        </w:rPr>
      </w:pPr>
      <w:r w:rsidRPr="00823ED0">
        <w:rPr>
          <w:rFonts w:ascii="Arial" w:hAnsi="Arial" w:cs="Arial"/>
        </w:rPr>
        <w:t xml:space="preserve"> </w:t>
      </w:r>
    </w:p>
    <w:p w:rsidR="00823ED0" w:rsidRPr="00823ED0" w:rsidRDefault="00823ED0" w:rsidP="00823ED0">
      <w:pPr>
        <w:spacing w:line="360" w:lineRule="auto"/>
        <w:jc w:val="both"/>
        <w:rPr>
          <w:rFonts w:ascii="Arial" w:hAnsi="Arial" w:cs="Arial"/>
        </w:rPr>
      </w:pPr>
      <w:r w:rsidRPr="00823ED0">
        <w:rPr>
          <w:rFonts w:ascii="Arial" w:hAnsi="Arial" w:cs="Arial"/>
        </w:rPr>
        <w:t>Art. 1 de la Ley de 23 julio 1908 de Represión de la Usura:</w:t>
      </w:r>
      <w:r>
        <w:rPr>
          <w:rFonts w:ascii="Arial" w:hAnsi="Arial" w:cs="Arial"/>
        </w:rPr>
        <w:t xml:space="preserve"> </w:t>
      </w:r>
      <w:proofErr w:type="gramStart"/>
      <w:r w:rsidRPr="00823ED0">
        <w:rPr>
          <w:rFonts w:ascii="Arial" w:hAnsi="Arial" w:cs="Arial"/>
        </w:rPr>
        <w:t>«[</w:t>
      </w:r>
      <w:proofErr w:type="gramEnd"/>
      <w:r w:rsidRPr="00823ED0">
        <w:rPr>
          <w:rFonts w:ascii="Arial" w:hAnsi="Arial" w:cs="Arial"/>
        </w:rPr>
        <w:t>s]</w:t>
      </w:r>
      <w:proofErr w:type="spellStart"/>
      <w:r w:rsidRPr="00823ED0">
        <w:rPr>
          <w:rFonts w:ascii="Arial" w:hAnsi="Arial" w:cs="Arial"/>
        </w:rPr>
        <w:t>erá</w:t>
      </w:r>
      <w:proofErr w:type="spellEnd"/>
      <w:r w:rsidRPr="00823ED0">
        <w:rPr>
          <w:rFonts w:ascii="Arial" w:hAnsi="Arial" w:cs="Arial"/>
        </w:rPr>
        <w:t xml:space="preserve"> nulo todo contrato de préstamo en que se estipule un interés notablemente superior al normal del dinero y manifiestamente desproporcionado con las circunstancias del caso o en condiciones tales que resulte aquél leonino, habiendo motivos para estimar que ha sido aceptado por el prestatario a causa de su situación angustiosa, de su inexperiencia o de lo limitado de sus facultades mentales».</w:t>
      </w:r>
    </w:p>
    <w:p w:rsidR="00823ED0" w:rsidRPr="00823ED0" w:rsidRDefault="00823ED0" w:rsidP="00823ED0">
      <w:pPr>
        <w:spacing w:line="360" w:lineRule="auto"/>
        <w:jc w:val="both"/>
        <w:rPr>
          <w:rFonts w:ascii="Arial" w:hAnsi="Arial" w:cs="Arial"/>
        </w:rPr>
      </w:pPr>
      <w:r w:rsidRPr="00823ED0">
        <w:rPr>
          <w:rFonts w:ascii="Arial" w:hAnsi="Arial" w:cs="Arial"/>
        </w:rPr>
        <w:t>Aunque en el caso objeto del recurso no se trataba propiamente de un contrato de préstamo, sino de un crédito del que el consumidor podía disponer mediante llamadas telefónicas, para que se realizaran ingresos en su cuenta bancaria, o mediante el uso de una tarjeta expedida por la entidad financiera, le es de aplicación dicha ley, y en concreto su art. 1, puesto que el art. 9 establece: «[l]o dispuesto por esta Ley se aplicará a toda operación sustancialmente equivalente a un préstamo de dinero, cualesquiera que sean la forma que revista el contrato y la garantía que para su cumplimiento se haya ofrecido».</w:t>
      </w:r>
    </w:p>
    <w:p w:rsidR="00823ED0" w:rsidRPr="00823ED0" w:rsidRDefault="00823ED0" w:rsidP="00823ED0">
      <w:pPr>
        <w:spacing w:line="360" w:lineRule="auto"/>
        <w:jc w:val="both"/>
        <w:rPr>
          <w:rFonts w:ascii="Arial" w:hAnsi="Arial" w:cs="Arial"/>
        </w:rPr>
      </w:pPr>
      <w:r w:rsidRPr="00823ED0">
        <w:rPr>
          <w:rFonts w:ascii="Arial" w:hAnsi="Arial" w:cs="Arial"/>
        </w:rPr>
        <w:t xml:space="preserve"> </w:t>
      </w:r>
    </w:p>
    <w:p w:rsidR="00823ED0" w:rsidRDefault="00823ED0" w:rsidP="00823ED0">
      <w:pPr>
        <w:spacing w:line="360" w:lineRule="auto"/>
        <w:jc w:val="both"/>
        <w:rPr>
          <w:rFonts w:ascii="Arial" w:hAnsi="Arial" w:cs="Arial"/>
        </w:rPr>
      </w:pPr>
      <w:r w:rsidRPr="00823ED0">
        <w:rPr>
          <w:rFonts w:ascii="Arial" w:hAnsi="Arial" w:cs="Arial"/>
        </w:rPr>
        <w:t xml:space="preserve">Art. 4.1 Orden </w:t>
      </w:r>
      <w:proofErr w:type="spellStart"/>
      <w:r w:rsidRPr="00823ED0">
        <w:rPr>
          <w:rFonts w:ascii="Arial" w:hAnsi="Arial" w:cs="Arial"/>
        </w:rPr>
        <w:t>EHA</w:t>
      </w:r>
      <w:proofErr w:type="spellEnd"/>
      <w:r w:rsidRPr="00823ED0">
        <w:rPr>
          <w:rFonts w:ascii="Arial" w:hAnsi="Arial" w:cs="Arial"/>
        </w:rPr>
        <w:t>/2899/2011, de 28 de octubre, de transparencia y protección del cliente de servicios bancarios</w:t>
      </w:r>
    </w:p>
    <w:p w:rsidR="00823ED0" w:rsidRPr="00823ED0" w:rsidRDefault="00823ED0" w:rsidP="00823ED0">
      <w:pPr>
        <w:spacing w:line="360" w:lineRule="auto"/>
        <w:jc w:val="both"/>
        <w:rPr>
          <w:rFonts w:ascii="Arial" w:hAnsi="Arial" w:cs="Arial"/>
        </w:rPr>
      </w:pPr>
    </w:p>
    <w:p w:rsidR="00823ED0" w:rsidRDefault="00823ED0" w:rsidP="00823ED0">
      <w:pPr>
        <w:spacing w:line="360" w:lineRule="auto"/>
        <w:jc w:val="both"/>
        <w:rPr>
          <w:rFonts w:ascii="Arial" w:hAnsi="Arial" w:cs="Arial"/>
        </w:rPr>
      </w:pPr>
      <w:r w:rsidRPr="00823ED0">
        <w:rPr>
          <w:rFonts w:ascii="Arial" w:hAnsi="Arial" w:cs="Arial"/>
        </w:rPr>
        <w:t xml:space="preserve">La  normativa sobre cláusulas abusivas en contratos concertados con consumidores no permite el control del carácter “abusivo” del tipo de interés remuneratorio en tanto que la cláusula en que se establece tal interés regula un </w:t>
      </w:r>
      <w:r w:rsidRPr="00823ED0">
        <w:rPr>
          <w:rFonts w:ascii="Arial" w:hAnsi="Arial" w:cs="Arial"/>
        </w:rPr>
        <w:lastRenderedPageBreak/>
        <w:t>elemento esencial del contrato, como es el precio del servicio, siempre que cumpla con:</w:t>
      </w:r>
    </w:p>
    <w:p w:rsidR="00823ED0" w:rsidRPr="00823ED0" w:rsidRDefault="00823ED0" w:rsidP="00823ED0">
      <w:pPr>
        <w:spacing w:line="360" w:lineRule="auto"/>
        <w:jc w:val="both"/>
        <w:rPr>
          <w:rFonts w:ascii="Arial" w:hAnsi="Arial" w:cs="Arial"/>
        </w:rPr>
      </w:pPr>
    </w:p>
    <w:p w:rsidR="00823ED0" w:rsidRPr="00823ED0" w:rsidRDefault="00823ED0" w:rsidP="00823ED0">
      <w:pPr>
        <w:spacing w:line="360" w:lineRule="auto"/>
        <w:jc w:val="both"/>
        <w:rPr>
          <w:rFonts w:ascii="Arial" w:hAnsi="Arial" w:cs="Arial"/>
        </w:rPr>
      </w:pPr>
      <w:r w:rsidRPr="00823ED0">
        <w:rPr>
          <w:rFonts w:ascii="Arial" w:hAnsi="Arial" w:cs="Arial"/>
        </w:rPr>
        <w:t>•</w:t>
      </w:r>
      <w:r w:rsidRPr="00823ED0">
        <w:rPr>
          <w:rFonts w:ascii="Arial" w:hAnsi="Arial" w:cs="Arial"/>
        </w:rPr>
        <w:tab/>
        <w:t>Requisito de Transparencia, que es fundamental para asegurar, en primer lugar, que la prestación del consentimiento se ha realizado por el consumidor con pleno conocimiento de la carga onerosa que la concertación de la operación de crédito le supone</w:t>
      </w:r>
    </w:p>
    <w:p w:rsidR="00823ED0" w:rsidRPr="00823ED0" w:rsidRDefault="00823ED0" w:rsidP="00823ED0">
      <w:pPr>
        <w:spacing w:line="360" w:lineRule="auto"/>
        <w:jc w:val="both"/>
        <w:rPr>
          <w:rFonts w:ascii="Arial" w:hAnsi="Arial" w:cs="Arial"/>
        </w:rPr>
      </w:pPr>
      <w:r w:rsidRPr="00823ED0">
        <w:rPr>
          <w:rFonts w:ascii="Arial" w:hAnsi="Arial" w:cs="Arial"/>
        </w:rPr>
        <w:t>•</w:t>
      </w:r>
      <w:r w:rsidRPr="00823ED0">
        <w:rPr>
          <w:rFonts w:ascii="Arial" w:hAnsi="Arial" w:cs="Arial"/>
        </w:rPr>
        <w:tab/>
        <w:t>Posibilidad de Comparación, que el cliente ha podido comparar las distintas ofertas de las entidades de crédito para elegir, entre ellas, la que le resulta más favorable.</w:t>
      </w:r>
    </w:p>
    <w:p w:rsidR="00823ED0" w:rsidRPr="00823ED0" w:rsidRDefault="00823ED0" w:rsidP="00823ED0">
      <w:pPr>
        <w:spacing w:line="360" w:lineRule="auto"/>
        <w:jc w:val="both"/>
        <w:rPr>
          <w:rFonts w:ascii="Arial" w:hAnsi="Arial" w:cs="Arial"/>
        </w:rPr>
      </w:pPr>
      <w:r w:rsidRPr="00823ED0">
        <w:rPr>
          <w:rFonts w:ascii="Arial" w:hAnsi="Arial" w:cs="Arial"/>
        </w:rPr>
        <w:t xml:space="preserve"> </w:t>
      </w:r>
    </w:p>
    <w:p w:rsidR="00823ED0" w:rsidRPr="00823ED0" w:rsidRDefault="00823ED0" w:rsidP="00823ED0">
      <w:pPr>
        <w:spacing w:line="360" w:lineRule="auto"/>
        <w:jc w:val="both"/>
        <w:rPr>
          <w:rFonts w:ascii="Arial" w:hAnsi="Arial" w:cs="Arial"/>
        </w:rPr>
      </w:pPr>
      <w:r w:rsidRPr="00823ED0">
        <w:rPr>
          <w:rFonts w:ascii="Arial" w:hAnsi="Arial" w:cs="Arial"/>
        </w:rPr>
        <w:t xml:space="preserve">En esta sentencia, el </w:t>
      </w:r>
      <w:proofErr w:type="spellStart"/>
      <w:r w:rsidRPr="00823ED0">
        <w:rPr>
          <w:rFonts w:ascii="Arial" w:hAnsi="Arial" w:cs="Arial"/>
        </w:rPr>
        <w:t>TS</w:t>
      </w:r>
      <w:proofErr w:type="spellEnd"/>
      <w:r w:rsidRPr="00823ED0">
        <w:rPr>
          <w:rFonts w:ascii="Arial" w:hAnsi="Arial" w:cs="Arial"/>
        </w:rPr>
        <w:t xml:space="preserve"> realiza un análisis de la aplicación de la Ley de Represión de la Usura, que entiende como un límite a la autonomía </w:t>
      </w:r>
      <w:proofErr w:type="spellStart"/>
      <w:r w:rsidRPr="00823ED0">
        <w:rPr>
          <w:rFonts w:ascii="Arial" w:hAnsi="Arial" w:cs="Arial"/>
        </w:rPr>
        <w:t>negocial</w:t>
      </w:r>
      <w:proofErr w:type="spellEnd"/>
      <w:r w:rsidRPr="00823ED0">
        <w:rPr>
          <w:rFonts w:ascii="Arial" w:hAnsi="Arial" w:cs="Arial"/>
        </w:rPr>
        <w:t xml:space="preserve"> del art. 1255 del Código Civil aplicable a los préstamos, y en general, a cualesquiera operación de crédito «sustancialmente equivalente»</w:t>
      </w:r>
    </w:p>
    <w:p w:rsidR="00823ED0" w:rsidRPr="00823ED0" w:rsidRDefault="00823ED0" w:rsidP="00823ED0">
      <w:pPr>
        <w:spacing w:line="360" w:lineRule="auto"/>
        <w:jc w:val="both"/>
        <w:rPr>
          <w:rFonts w:ascii="Arial" w:hAnsi="Arial" w:cs="Arial"/>
        </w:rPr>
      </w:pPr>
      <w:r w:rsidRPr="00823ED0">
        <w:rPr>
          <w:rFonts w:ascii="Arial" w:hAnsi="Arial" w:cs="Arial"/>
        </w:rPr>
        <w:t xml:space="preserve"> </w:t>
      </w:r>
    </w:p>
    <w:p w:rsidR="00823ED0" w:rsidRDefault="00823ED0" w:rsidP="00823ED0">
      <w:pPr>
        <w:spacing w:line="360" w:lineRule="auto"/>
        <w:jc w:val="both"/>
        <w:rPr>
          <w:rFonts w:ascii="Arial" w:hAnsi="Arial" w:cs="Arial"/>
        </w:rPr>
      </w:pPr>
      <w:r w:rsidRPr="00823ED0">
        <w:rPr>
          <w:rFonts w:ascii="Arial" w:hAnsi="Arial" w:cs="Arial"/>
        </w:rPr>
        <w:t>El Tribunal, determina que la consideración de interés remuneratorio usurario no hace referencia a si es o no excesivo. Si no que se refiere a si es «notablemente superior al normal del dinero y manifiestamente desproporcionado con las circunstancias del caso».</w:t>
      </w:r>
    </w:p>
    <w:p w:rsidR="00823ED0" w:rsidRPr="00823ED0" w:rsidRDefault="00823ED0" w:rsidP="00823ED0">
      <w:pPr>
        <w:spacing w:line="360" w:lineRule="auto"/>
        <w:jc w:val="both"/>
        <w:rPr>
          <w:rFonts w:ascii="Arial" w:hAnsi="Arial" w:cs="Arial"/>
        </w:rPr>
      </w:pPr>
    </w:p>
    <w:p w:rsidR="00823ED0" w:rsidRPr="00823ED0" w:rsidRDefault="00823ED0" w:rsidP="00823ED0">
      <w:pPr>
        <w:spacing w:line="360" w:lineRule="auto"/>
        <w:jc w:val="both"/>
        <w:rPr>
          <w:rFonts w:ascii="Arial" w:hAnsi="Arial" w:cs="Arial"/>
        </w:rPr>
      </w:pPr>
      <w:r w:rsidRPr="00823ED0">
        <w:rPr>
          <w:rFonts w:ascii="Arial" w:hAnsi="Arial" w:cs="Arial"/>
        </w:rPr>
        <w:t xml:space="preserve">Y en este caso concreto el </w:t>
      </w:r>
      <w:proofErr w:type="spellStart"/>
      <w:r w:rsidRPr="00823ED0">
        <w:rPr>
          <w:rFonts w:ascii="Arial" w:hAnsi="Arial" w:cs="Arial"/>
        </w:rPr>
        <w:t>TS</w:t>
      </w:r>
      <w:proofErr w:type="spellEnd"/>
      <w:r w:rsidRPr="00823ED0">
        <w:rPr>
          <w:rFonts w:ascii="Arial" w:hAnsi="Arial" w:cs="Arial"/>
        </w:rPr>
        <w:t xml:space="preserve"> consideró que la diferencia entre el TAE fijado en la operación y el interés medio de los préstamos al consumo en la fecha en que fue concertado permite considerar el interés estipulado como «notablemente superior al normal del dinero», a la par que considera que los intereses son «manifiestamente desproporcionado con las circunstancias del caso», por no haber justificado la entidad financiera la concurrencia de circunstancias excepcionales que en función del Riesgo de la Operación justificasen la aplicación de un interés notablemente superior al normal.</w:t>
      </w:r>
    </w:p>
    <w:p w:rsidR="00823ED0" w:rsidRPr="00823ED0" w:rsidRDefault="00823ED0" w:rsidP="00823ED0">
      <w:pPr>
        <w:spacing w:line="360" w:lineRule="auto"/>
        <w:jc w:val="both"/>
        <w:rPr>
          <w:rFonts w:ascii="Arial" w:hAnsi="Arial" w:cs="Arial"/>
        </w:rPr>
      </w:pPr>
      <w:r w:rsidRPr="00823ED0">
        <w:rPr>
          <w:rFonts w:ascii="Arial" w:hAnsi="Arial" w:cs="Arial"/>
        </w:rPr>
        <w:lastRenderedPageBreak/>
        <w:t>El fallo determina que el Interés remuneratorio del crédito en cuestión es usurario y determina la nulidad del Contrato del crédito, no debiendo el consumidor hacer frente al pago de los intereses remuneratorios.</w:t>
      </w:r>
    </w:p>
    <w:p w:rsidR="00823ED0" w:rsidRPr="00823ED0" w:rsidRDefault="00823ED0" w:rsidP="00823ED0">
      <w:pPr>
        <w:spacing w:line="360" w:lineRule="auto"/>
        <w:jc w:val="both"/>
        <w:rPr>
          <w:rFonts w:ascii="Arial" w:hAnsi="Arial" w:cs="Arial"/>
        </w:rPr>
      </w:pPr>
      <w:r w:rsidRPr="00823ED0">
        <w:rPr>
          <w:rFonts w:ascii="Arial" w:hAnsi="Arial" w:cs="Arial"/>
        </w:rPr>
        <w:t xml:space="preserve"> </w:t>
      </w:r>
    </w:p>
    <w:p w:rsidR="00823ED0" w:rsidRPr="00823ED0" w:rsidRDefault="00823ED0" w:rsidP="00823ED0">
      <w:pPr>
        <w:spacing w:line="360" w:lineRule="auto"/>
        <w:jc w:val="both"/>
        <w:rPr>
          <w:rFonts w:ascii="Arial" w:hAnsi="Arial" w:cs="Arial"/>
        </w:rPr>
      </w:pPr>
      <w:r>
        <w:rPr>
          <w:rFonts w:ascii="Arial" w:hAnsi="Arial" w:cs="Arial"/>
        </w:rPr>
        <w:t xml:space="preserve"> </w:t>
      </w:r>
    </w:p>
    <w:p w:rsidR="00823ED0" w:rsidRPr="00823ED0" w:rsidRDefault="00823ED0" w:rsidP="00823ED0">
      <w:pPr>
        <w:spacing w:line="360" w:lineRule="auto"/>
        <w:jc w:val="both"/>
        <w:rPr>
          <w:rFonts w:ascii="Arial" w:hAnsi="Arial" w:cs="Arial"/>
        </w:rPr>
      </w:pPr>
      <w:r w:rsidRPr="00823ED0">
        <w:rPr>
          <w:rFonts w:ascii="Arial" w:hAnsi="Arial" w:cs="Arial"/>
        </w:rPr>
        <w:t xml:space="preserve">1º.- ¿Qué parámetro es el adecuado para medir el Interés remuneratorio? </w:t>
      </w:r>
    </w:p>
    <w:p w:rsidR="00823ED0" w:rsidRPr="00823ED0" w:rsidRDefault="00823ED0" w:rsidP="00823ED0">
      <w:pPr>
        <w:spacing w:line="360" w:lineRule="auto"/>
        <w:jc w:val="both"/>
        <w:rPr>
          <w:rFonts w:ascii="Arial" w:hAnsi="Arial" w:cs="Arial"/>
        </w:rPr>
      </w:pPr>
      <w:r w:rsidRPr="00823ED0">
        <w:rPr>
          <w:rFonts w:ascii="Arial" w:hAnsi="Arial" w:cs="Arial"/>
        </w:rPr>
        <w:t xml:space="preserve">Dice el </w:t>
      </w:r>
      <w:proofErr w:type="spellStart"/>
      <w:r w:rsidRPr="00823ED0">
        <w:rPr>
          <w:rFonts w:ascii="Arial" w:hAnsi="Arial" w:cs="Arial"/>
        </w:rPr>
        <w:t>TS</w:t>
      </w:r>
      <w:proofErr w:type="spellEnd"/>
      <w:r w:rsidRPr="00823ED0">
        <w:rPr>
          <w:rFonts w:ascii="Arial" w:hAnsi="Arial" w:cs="Arial"/>
        </w:rPr>
        <w:t xml:space="preserve"> que el porcentaje que ha de tomarse en consideración para determinar si el interés es notablemente superior al normal del dinero no es el nominal, sino la tasa anual equivalente (TAE), que se calcula tomando en consideración cualesquiera pagos que el prestatario ha de realizar al prestamista por razón del préstamo, conforme a unos estándares legalmente predeterminados.</w:t>
      </w:r>
    </w:p>
    <w:p w:rsidR="00823ED0" w:rsidRPr="00823ED0" w:rsidRDefault="00823ED0" w:rsidP="00823ED0">
      <w:pPr>
        <w:spacing w:line="360" w:lineRule="auto"/>
        <w:jc w:val="both"/>
        <w:rPr>
          <w:rFonts w:ascii="Arial" w:hAnsi="Arial" w:cs="Arial"/>
        </w:rPr>
      </w:pPr>
      <w:r w:rsidRPr="00823ED0">
        <w:rPr>
          <w:rFonts w:ascii="Arial" w:hAnsi="Arial" w:cs="Arial"/>
        </w:rPr>
        <w:t xml:space="preserve"> </w:t>
      </w:r>
    </w:p>
    <w:p w:rsidR="00823ED0" w:rsidRPr="00823ED0" w:rsidRDefault="00823ED0" w:rsidP="00823ED0">
      <w:pPr>
        <w:spacing w:line="360" w:lineRule="auto"/>
        <w:jc w:val="both"/>
        <w:rPr>
          <w:rFonts w:ascii="Arial" w:hAnsi="Arial" w:cs="Arial"/>
        </w:rPr>
      </w:pPr>
      <w:r w:rsidRPr="00823ED0">
        <w:rPr>
          <w:rFonts w:ascii="Arial" w:hAnsi="Arial" w:cs="Arial"/>
        </w:rPr>
        <w:t xml:space="preserve">2.- ¿La limitación de los Intereses remuneratorios de la Ley 23 de julio de Represión de la Usura aplican a los Microcréditos? </w:t>
      </w:r>
    </w:p>
    <w:p w:rsidR="00823ED0" w:rsidRPr="00823ED0" w:rsidRDefault="00823ED0" w:rsidP="00823ED0">
      <w:pPr>
        <w:spacing w:line="360" w:lineRule="auto"/>
        <w:jc w:val="both"/>
        <w:rPr>
          <w:rFonts w:ascii="Arial" w:hAnsi="Arial" w:cs="Arial"/>
        </w:rPr>
      </w:pPr>
      <w:r w:rsidRPr="00823ED0">
        <w:rPr>
          <w:rFonts w:ascii="Arial" w:hAnsi="Arial" w:cs="Arial"/>
        </w:rPr>
        <w:t>Sí. Lo dispuesto por esta Ley se aplicará a toda operación sustancialmente equivalente a un préstamo de dinero, cualesquiera que sean la forma que revista el contrato y la garantía que para su cumplimiento se haya ofrecido.</w:t>
      </w:r>
    </w:p>
    <w:p w:rsidR="00823ED0" w:rsidRPr="00823ED0" w:rsidRDefault="00823ED0" w:rsidP="00823ED0">
      <w:pPr>
        <w:spacing w:line="360" w:lineRule="auto"/>
        <w:jc w:val="both"/>
        <w:rPr>
          <w:rFonts w:ascii="Arial" w:hAnsi="Arial" w:cs="Arial"/>
        </w:rPr>
      </w:pPr>
      <w:r w:rsidRPr="00823ED0">
        <w:rPr>
          <w:rFonts w:ascii="Arial" w:hAnsi="Arial" w:cs="Arial"/>
        </w:rPr>
        <w:t xml:space="preserve">La propia Ley proclama su aplicabilidad a operaciones que puedan ser asimilables a </w:t>
      </w:r>
      <w:proofErr w:type="gramStart"/>
      <w:r w:rsidRPr="00823ED0">
        <w:rPr>
          <w:rFonts w:ascii="Arial" w:hAnsi="Arial" w:cs="Arial"/>
        </w:rPr>
        <w:t>un préstamos</w:t>
      </w:r>
      <w:proofErr w:type="gramEnd"/>
      <w:r w:rsidRPr="00823ED0">
        <w:rPr>
          <w:rFonts w:ascii="Arial" w:hAnsi="Arial" w:cs="Arial"/>
        </w:rPr>
        <w:t xml:space="preserve"> de dinero, y el </w:t>
      </w:r>
      <w:proofErr w:type="spellStart"/>
      <w:r w:rsidRPr="00823ED0">
        <w:rPr>
          <w:rFonts w:ascii="Arial" w:hAnsi="Arial" w:cs="Arial"/>
        </w:rPr>
        <w:t>TS</w:t>
      </w:r>
      <w:proofErr w:type="spellEnd"/>
      <w:r w:rsidRPr="00823ED0">
        <w:rPr>
          <w:rFonts w:ascii="Arial" w:hAnsi="Arial" w:cs="Arial"/>
        </w:rPr>
        <w:t xml:space="preserve"> la aplica de forma extensiva en pro del consumidor.</w:t>
      </w:r>
    </w:p>
    <w:p w:rsidR="00823ED0" w:rsidRPr="00823ED0" w:rsidRDefault="00823ED0" w:rsidP="00823ED0">
      <w:pPr>
        <w:spacing w:line="360" w:lineRule="auto"/>
        <w:jc w:val="both"/>
        <w:rPr>
          <w:rFonts w:ascii="Arial" w:hAnsi="Arial" w:cs="Arial"/>
        </w:rPr>
      </w:pPr>
      <w:r w:rsidRPr="00823ED0">
        <w:rPr>
          <w:rFonts w:ascii="Arial" w:hAnsi="Arial" w:cs="Arial"/>
        </w:rPr>
        <w:t xml:space="preserve"> </w:t>
      </w:r>
    </w:p>
    <w:p w:rsidR="00823ED0" w:rsidRPr="00823ED0" w:rsidRDefault="00823ED0" w:rsidP="00823ED0">
      <w:pPr>
        <w:spacing w:line="360" w:lineRule="auto"/>
        <w:jc w:val="both"/>
        <w:rPr>
          <w:rFonts w:ascii="Arial" w:hAnsi="Arial" w:cs="Arial"/>
        </w:rPr>
      </w:pPr>
      <w:r w:rsidRPr="00823ED0">
        <w:rPr>
          <w:rFonts w:ascii="Arial" w:hAnsi="Arial" w:cs="Arial"/>
        </w:rPr>
        <w:t xml:space="preserve">3º.- ¿Si cumplo con el requisito de Transparencia y facilito la Comparación de un producto financiero puedo fijar el Interés remuneratorio que desee? </w:t>
      </w:r>
    </w:p>
    <w:p w:rsidR="00823ED0" w:rsidRPr="00823ED0" w:rsidRDefault="00823ED0" w:rsidP="00823ED0">
      <w:pPr>
        <w:spacing w:line="360" w:lineRule="auto"/>
        <w:jc w:val="both"/>
        <w:rPr>
          <w:rFonts w:ascii="Arial" w:hAnsi="Arial" w:cs="Arial"/>
        </w:rPr>
      </w:pPr>
      <w:r w:rsidRPr="00823ED0">
        <w:rPr>
          <w:rFonts w:ascii="Arial" w:hAnsi="Arial" w:cs="Arial"/>
        </w:rPr>
        <w:t xml:space="preserve">No. El </w:t>
      </w:r>
      <w:proofErr w:type="spellStart"/>
      <w:r w:rsidRPr="00823ED0">
        <w:rPr>
          <w:rFonts w:ascii="Arial" w:hAnsi="Arial" w:cs="Arial"/>
        </w:rPr>
        <w:t>TS</w:t>
      </w:r>
      <w:proofErr w:type="spellEnd"/>
      <w:r w:rsidRPr="00823ED0">
        <w:rPr>
          <w:rFonts w:ascii="Arial" w:hAnsi="Arial" w:cs="Arial"/>
        </w:rPr>
        <w:t xml:space="preserve"> considera que la Ley de Represión de la Usura se configura como un límite a la autonomía </w:t>
      </w:r>
      <w:proofErr w:type="spellStart"/>
      <w:r w:rsidRPr="00823ED0">
        <w:rPr>
          <w:rFonts w:ascii="Arial" w:hAnsi="Arial" w:cs="Arial"/>
        </w:rPr>
        <w:t>negocial</w:t>
      </w:r>
      <w:proofErr w:type="spellEnd"/>
      <w:r w:rsidRPr="00823ED0">
        <w:rPr>
          <w:rFonts w:ascii="Arial" w:hAnsi="Arial" w:cs="Arial"/>
        </w:rPr>
        <w:t xml:space="preserve"> del art. 1255 del Código Civil aplicable a los préstamos, y, en general, a </w:t>
      </w:r>
      <w:proofErr w:type="gramStart"/>
      <w:r w:rsidRPr="00823ED0">
        <w:rPr>
          <w:rFonts w:ascii="Arial" w:hAnsi="Arial" w:cs="Arial"/>
        </w:rPr>
        <w:t>cualesquiera</w:t>
      </w:r>
      <w:proofErr w:type="gramEnd"/>
      <w:r w:rsidRPr="00823ED0">
        <w:rPr>
          <w:rFonts w:ascii="Arial" w:hAnsi="Arial" w:cs="Arial"/>
        </w:rPr>
        <w:t xml:space="preserve"> operación de crédito «sustancialm</w:t>
      </w:r>
      <w:r>
        <w:rPr>
          <w:rFonts w:ascii="Arial" w:hAnsi="Arial" w:cs="Arial"/>
        </w:rPr>
        <w:t>ente equivalente» al préstamo</w:t>
      </w:r>
      <w:r w:rsidRPr="00823ED0">
        <w:rPr>
          <w:rFonts w:ascii="Arial" w:hAnsi="Arial" w:cs="Arial"/>
        </w:rPr>
        <w:t>.</w:t>
      </w:r>
    </w:p>
    <w:p w:rsidR="00823ED0" w:rsidRPr="00823ED0" w:rsidRDefault="00823ED0" w:rsidP="00823ED0">
      <w:pPr>
        <w:spacing w:line="360" w:lineRule="auto"/>
        <w:jc w:val="both"/>
        <w:rPr>
          <w:rFonts w:ascii="Arial" w:hAnsi="Arial" w:cs="Arial"/>
        </w:rPr>
      </w:pPr>
      <w:r w:rsidRPr="00823ED0">
        <w:rPr>
          <w:rFonts w:ascii="Arial" w:hAnsi="Arial" w:cs="Arial"/>
        </w:rPr>
        <w:t xml:space="preserve"> </w:t>
      </w:r>
    </w:p>
    <w:p w:rsidR="00823ED0" w:rsidRPr="00823ED0" w:rsidRDefault="00823ED0" w:rsidP="00823ED0">
      <w:pPr>
        <w:spacing w:line="360" w:lineRule="auto"/>
        <w:jc w:val="both"/>
        <w:rPr>
          <w:rFonts w:ascii="Arial" w:hAnsi="Arial" w:cs="Arial"/>
        </w:rPr>
      </w:pPr>
      <w:r w:rsidRPr="00823ED0">
        <w:rPr>
          <w:rFonts w:ascii="Arial" w:hAnsi="Arial" w:cs="Arial"/>
        </w:rPr>
        <w:lastRenderedPageBreak/>
        <w:t xml:space="preserve">4º.- ¿Cuándo un interés remuneratorio podrá considerarse usurario? </w:t>
      </w:r>
    </w:p>
    <w:p w:rsidR="00823ED0" w:rsidRPr="00823ED0" w:rsidRDefault="00823ED0" w:rsidP="00823ED0">
      <w:pPr>
        <w:spacing w:line="360" w:lineRule="auto"/>
        <w:jc w:val="both"/>
        <w:rPr>
          <w:rFonts w:ascii="Arial" w:hAnsi="Arial" w:cs="Arial"/>
        </w:rPr>
      </w:pPr>
      <w:r w:rsidRPr="00823ED0">
        <w:rPr>
          <w:rFonts w:ascii="Arial" w:hAnsi="Arial" w:cs="Arial"/>
        </w:rPr>
        <w:t>Podrá considerarse que un interés remuneratorio es usurario si se cumplen las siguientes condiciones:</w:t>
      </w:r>
    </w:p>
    <w:p w:rsidR="00823ED0" w:rsidRPr="00823ED0" w:rsidRDefault="00823ED0" w:rsidP="00823ED0">
      <w:pPr>
        <w:spacing w:line="360" w:lineRule="auto"/>
        <w:jc w:val="both"/>
        <w:rPr>
          <w:rFonts w:ascii="Arial" w:hAnsi="Arial" w:cs="Arial"/>
        </w:rPr>
      </w:pPr>
      <w:r w:rsidRPr="00823ED0">
        <w:rPr>
          <w:rFonts w:ascii="Arial" w:hAnsi="Arial" w:cs="Arial"/>
        </w:rPr>
        <w:t>•</w:t>
      </w:r>
      <w:r w:rsidRPr="00823ED0">
        <w:rPr>
          <w:rFonts w:ascii="Arial" w:hAnsi="Arial" w:cs="Arial"/>
        </w:rPr>
        <w:tab/>
        <w:t xml:space="preserve">Que estemos ante un interés notablemente superior al normal del dinero </w:t>
      </w:r>
    </w:p>
    <w:p w:rsidR="00823ED0" w:rsidRDefault="00823ED0" w:rsidP="00823ED0">
      <w:pPr>
        <w:spacing w:line="360" w:lineRule="auto"/>
        <w:jc w:val="both"/>
        <w:rPr>
          <w:rFonts w:ascii="Arial" w:hAnsi="Arial" w:cs="Arial"/>
        </w:rPr>
      </w:pPr>
      <w:r w:rsidRPr="00823ED0">
        <w:rPr>
          <w:rFonts w:ascii="Arial" w:hAnsi="Arial" w:cs="Arial"/>
        </w:rPr>
        <w:t>•</w:t>
      </w:r>
      <w:r w:rsidRPr="00823ED0">
        <w:rPr>
          <w:rFonts w:ascii="Arial" w:hAnsi="Arial" w:cs="Arial"/>
        </w:rPr>
        <w:tab/>
        <w:t>Que sea manifiestamente desproporcionado con las circunstancias del caso</w:t>
      </w:r>
      <w:r>
        <w:rPr>
          <w:rFonts w:ascii="Arial" w:hAnsi="Arial" w:cs="Arial"/>
        </w:rPr>
        <w:t>.</w:t>
      </w:r>
    </w:p>
    <w:p w:rsidR="00823ED0" w:rsidRPr="00823ED0" w:rsidRDefault="00823ED0" w:rsidP="00823ED0">
      <w:pPr>
        <w:spacing w:line="360" w:lineRule="auto"/>
        <w:jc w:val="both"/>
        <w:rPr>
          <w:rFonts w:ascii="Arial" w:hAnsi="Arial" w:cs="Arial"/>
        </w:rPr>
      </w:pPr>
    </w:p>
    <w:p w:rsidR="00823ED0" w:rsidRPr="00823ED0" w:rsidRDefault="00823ED0" w:rsidP="00823ED0">
      <w:pPr>
        <w:spacing w:line="360" w:lineRule="auto"/>
        <w:jc w:val="both"/>
        <w:rPr>
          <w:rFonts w:ascii="Arial" w:hAnsi="Arial" w:cs="Arial"/>
        </w:rPr>
      </w:pPr>
      <w:r w:rsidRPr="00823ED0">
        <w:rPr>
          <w:rFonts w:ascii="Arial" w:hAnsi="Arial" w:cs="Arial"/>
        </w:rPr>
        <w:t>Sin que sea exigible que, acumuladamente, se exija «que ha sido aceptado por el prestatario a causa de su situación angustiosa, de su inexperiencia o de lo limitado de sus facultades mentales».</w:t>
      </w:r>
    </w:p>
    <w:p w:rsidR="00823ED0" w:rsidRPr="00823ED0" w:rsidRDefault="00823ED0" w:rsidP="00823ED0">
      <w:pPr>
        <w:spacing w:line="360" w:lineRule="auto"/>
        <w:jc w:val="both"/>
        <w:rPr>
          <w:rFonts w:ascii="Arial" w:hAnsi="Arial" w:cs="Arial"/>
        </w:rPr>
      </w:pPr>
      <w:r w:rsidRPr="00823ED0">
        <w:rPr>
          <w:rFonts w:ascii="Arial" w:hAnsi="Arial" w:cs="Arial"/>
        </w:rPr>
        <w:t xml:space="preserve"> </w:t>
      </w:r>
    </w:p>
    <w:p w:rsidR="00823ED0" w:rsidRPr="00823ED0" w:rsidRDefault="00823ED0" w:rsidP="00823ED0">
      <w:pPr>
        <w:spacing w:line="360" w:lineRule="auto"/>
        <w:jc w:val="both"/>
        <w:rPr>
          <w:rFonts w:ascii="Arial" w:hAnsi="Arial" w:cs="Arial"/>
        </w:rPr>
      </w:pPr>
      <w:r w:rsidRPr="00823ED0">
        <w:rPr>
          <w:rFonts w:ascii="Arial" w:hAnsi="Arial" w:cs="Arial"/>
        </w:rPr>
        <w:t xml:space="preserve">5º.- ¿Qué es el interés normal del dinero? </w:t>
      </w:r>
    </w:p>
    <w:p w:rsidR="00823ED0" w:rsidRDefault="00823ED0" w:rsidP="00823ED0">
      <w:pPr>
        <w:spacing w:line="360" w:lineRule="auto"/>
        <w:jc w:val="both"/>
        <w:rPr>
          <w:rFonts w:ascii="Arial" w:hAnsi="Arial" w:cs="Arial"/>
        </w:rPr>
      </w:pPr>
      <w:r w:rsidRPr="00823ED0">
        <w:rPr>
          <w:rFonts w:ascii="Arial" w:hAnsi="Arial" w:cs="Arial"/>
        </w:rPr>
        <w:t>Es el interés con el que ha de realizarse la comparación, el interés «normal o habitual, en concurrencia con las circunstancias del caso y la libert</w:t>
      </w:r>
      <w:r>
        <w:rPr>
          <w:rFonts w:ascii="Arial" w:hAnsi="Arial" w:cs="Arial"/>
        </w:rPr>
        <w:t>ad existente en esta materia»</w:t>
      </w:r>
    </w:p>
    <w:p w:rsidR="00823ED0" w:rsidRPr="00823ED0" w:rsidRDefault="00823ED0" w:rsidP="00823ED0">
      <w:pPr>
        <w:spacing w:line="360" w:lineRule="auto"/>
        <w:jc w:val="both"/>
        <w:rPr>
          <w:rFonts w:ascii="Arial" w:hAnsi="Arial" w:cs="Arial"/>
        </w:rPr>
      </w:pPr>
    </w:p>
    <w:p w:rsidR="00823ED0" w:rsidRPr="00823ED0" w:rsidRDefault="00823ED0" w:rsidP="00823ED0">
      <w:pPr>
        <w:spacing w:line="360" w:lineRule="auto"/>
        <w:jc w:val="both"/>
        <w:rPr>
          <w:rFonts w:ascii="Arial" w:hAnsi="Arial" w:cs="Arial"/>
        </w:rPr>
      </w:pPr>
      <w:r w:rsidRPr="00823ED0">
        <w:rPr>
          <w:rFonts w:ascii="Arial" w:hAnsi="Arial" w:cs="Arial"/>
        </w:rPr>
        <w:t>Para establecer lo que se considera “interés normal” puede acudirse a las estadísticas que publica el Banco de España, tomando como base la información que mensualmente tienen que facilitarle las entidades de crédito sobre los tipos de interés que aplican a diversas modalidades de operaciones activas y pasivas (créditos y préstamos personales hasta un año y hasta tres años, hipotecarios a más de tres años, cuentas corrientes, cuentas de ahorro, cesiones temporales, etc.).</w:t>
      </w:r>
    </w:p>
    <w:p w:rsidR="00823ED0" w:rsidRPr="00823ED0" w:rsidRDefault="00823ED0" w:rsidP="00823ED0">
      <w:pPr>
        <w:spacing w:line="360" w:lineRule="auto"/>
        <w:jc w:val="both"/>
        <w:rPr>
          <w:rFonts w:ascii="Arial" w:hAnsi="Arial" w:cs="Arial"/>
        </w:rPr>
      </w:pPr>
      <w:r w:rsidRPr="00823ED0">
        <w:rPr>
          <w:rFonts w:ascii="Arial" w:hAnsi="Arial" w:cs="Arial"/>
        </w:rPr>
        <w:t xml:space="preserve"> </w:t>
      </w:r>
    </w:p>
    <w:p w:rsidR="00823ED0" w:rsidRDefault="00823ED0" w:rsidP="00823ED0">
      <w:pPr>
        <w:spacing w:line="360" w:lineRule="auto"/>
        <w:jc w:val="both"/>
        <w:rPr>
          <w:rFonts w:ascii="Arial" w:hAnsi="Arial" w:cs="Arial"/>
        </w:rPr>
      </w:pPr>
      <w:r w:rsidRPr="00823ED0">
        <w:rPr>
          <w:rFonts w:ascii="Arial" w:hAnsi="Arial" w:cs="Arial"/>
        </w:rPr>
        <w:t xml:space="preserve">6º.- ¿Es un interés del 24,6% TAE usurario? </w:t>
      </w:r>
    </w:p>
    <w:p w:rsidR="00823ED0" w:rsidRPr="00823ED0" w:rsidRDefault="00823ED0" w:rsidP="00823ED0">
      <w:pPr>
        <w:spacing w:line="360" w:lineRule="auto"/>
        <w:jc w:val="both"/>
        <w:rPr>
          <w:rFonts w:ascii="Arial" w:hAnsi="Arial" w:cs="Arial"/>
        </w:rPr>
      </w:pPr>
    </w:p>
    <w:p w:rsidR="00823ED0" w:rsidRPr="00823ED0" w:rsidRDefault="00823ED0" w:rsidP="00823ED0">
      <w:pPr>
        <w:spacing w:line="360" w:lineRule="auto"/>
        <w:jc w:val="both"/>
        <w:rPr>
          <w:rFonts w:ascii="Arial" w:hAnsi="Arial" w:cs="Arial"/>
        </w:rPr>
      </w:pPr>
      <w:r w:rsidRPr="00823ED0">
        <w:rPr>
          <w:rFonts w:ascii="Arial" w:hAnsi="Arial" w:cs="Arial"/>
        </w:rPr>
        <w:t xml:space="preserve">No necesariamente. EL </w:t>
      </w:r>
      <w:proofErr w:type="spellStart"/>
      <w:r w:rsidRPr="00823ED0">
        <w:rPr>
          <w:rFonts w:ascii="Arial" w:hAnsi="Arial" w:cs="Arial"/>
        </w:rPr>
        <w:t>TS</w:t>
      </w:r>
      <w:proofErr w:type="spellEnd"/>
      <w:r w:rsidRPr="00823ED0">
        <w:rPr>
          <w:rFonts w:ascii="Arial" w:hAnsi="Arial" w:cs="Arial"/>
        </w:rPr>
        <w:t xml:space="preserve"> considera que el TAE fijado en la operación deberá compararse con el interés medio (o interés normal) de los préstamos al consumo en la fecha en que fue concertado.</w:t>
      </w:r>
    </w:p>
    <w:p w:rsidR="00823ED0" w:rsidRDefault="00823ED0" w:rsidP="00823ED0">
      <w:pPr>
        <w:spacing w:line="360" w:lineRule="auto"/>
        <w:jc w:val="both"/>
        <w:rPr>
          <w:rFonts w:ascii="Arial" w:hAnsi="Arial" w:cs="Arial"/>
        </w:rPr>
      </w:pPr>
      <w:r w:rsidRPr="00823ED0">
        <w:rPr>
          <w:rFonts w:ascii="Arial" w:hAnsi="Arial" w:cs="Arial"/>
        </w:rPr>
        <w:lastRenderedPageBreak/>
        <w:t xml:space="preserve">Si existe una variación importante entre el Interés medio o Interés normal y el TAE fijado, entonces podrá entenderse que el interés remuneratorio fijado es «notablemente superior al normal del dinero». Sin embargo el </w:t>
      </w:r>
      <w:proofErr w:type="spellStart"/>
      <w:r w:rsidRPr="00823ED0">
        <w:rPr>
          <w:rFonts w:ascii="Arial" w:hAnsi="Arial" w:cs="Arial"/>
        </w:rPr>
        <w:t>TS</w:t>
      </w:r>
      <w:proofErr w:type="spellEnd"/>
      <w:r w:rsidRPr="00823ED0">
        <w:rPr>
          <w:rFonts w:ascii="Arial" w:hAnsi="Arial" w:cs="Arial"/>
        </w:rPr>
        <w:t xml:space="preserve"> no especifica ningún porcentaje de variación, ni parámetro alguno cuantificable que determine qué se considera “notablemente superior”.</w:t>
      </w:r>
    </w:p>
    <w:p w:rsidR="00823ED0" w:rsidRPr="00823ED0" w:rsidRDefault="00823ED0" w:rsidP="00823ED0">
      <w:pPr>
        <w:spacing w:line="360" w:lineRule="auto"/>
        <w:jc w:val="both"/>
        <w:rPr>
          <w:rFonts w:ascii="Arial" w:hAnsi="Arial" w:cs="Arial"/>
        </w:rPr>
      </w:pPr>
    </w:p>
    <w:p w:rsidR="00823ED0" w:rsidRPr="00823ED0" w:rsidRDefault="00823ED0" w:rsidP="00823ED0">
      <w:pPr>
        <w:spacing w:line="360" w:lineRule="auto"/>
        <w:jc w:val="both"/>
        <w:rPr>
          <w:rFonts w:ascii="Arial" w:hAnsi="Arial" w:cs="Arial"/>
        </w:rPr>
      </w:pPr>
      <w:r w:rsidRPr="00823ED0">
        <w:rPr>
          <w:rFonts w:ascii="Arial" w:hAnsi="Arial" w:cs="Arial"/>
        </w:rPr>
        <w:t xml:space="preserve">Pero no basta con que el </w:t>
      </w:r>
      <w:proofErr w:type="spellStart"/>
      <w:r w:rsidRPr="00823ED0">
        <w:rPr>
          <w:rFonts w:ascii="Arial" w:hAnsi="Arial" w:cs="Arial"/>
        </w:rPr>
        <w:t>TS</w:t>
      </w:r>
      <w:proofErr w:type="spellEnd"/>
      <w:r w:rsidRPr="00823ED0">
        <w:rPr>
          <w:rFonts w:ascii="Arial" w:hAnsi="Arial" w:cs="Arial"/>
        </w:rPr>
        <w:t xml:space="preserve"> considere que el Interés remuneratorio (TAE 24,6% en este caso) sea «notablemente superior al normal del dinero». Además deberá «manifiestamente desproporcionado con las circunstancias del caso». Son por tanto condiciones acumulativas.</w:t>
      </w:r>
    </w:p>
    <w:p w:rsidR="00823ED0" w:rsidRPr="00823ED0" w:rsidRDefault="00823ED0" w:rsidP="00823ED0">
      <w:pPr>
        <w:spacing w:line="360" w:lineRule="auto"/>
        <w:jc w:val="both"/>
        <w:rPr>
          <w:rFonts w:ascii="Arial" w:hAnsi="Arial" w:cs="Arial"/>
        </w:rPr>
      </w:pPr>
      <w:r w:rsidRPr="00823ED0">
        <w:rPr>
          <w:rFonts w:ascii="Arial" w:hAnsi="Arial" w:cs="Arial"/>
        </w:rPr>
        <w:t xml:space="preserve"> </w:t>
      </w:r>
    </w:p>
    <w:p w:rsidR="00823ED0" w:rsidRPr="00823ED0" w:rsidRDefault="00823ED0" w:rsidP="00823ED0">
      <w:pPr>
        <w:spacing w:line="360" w:lineRule="auto"/>
        <w:jc w:val="both"/>
        <w:rPr>
          <w:rFonts w:ascii="Arial" w:hAnsi="Arial" w:cs="Arial"/>
        </w:rPr>
      </w:pPr>
      <w:r w:rsidRPr="00823ED0">
        <w:rPr>
          <w:rFonts w:ascii="Arial" w:hAnsi="Arial" w:cs="Arial"/>
        </w:rPr>
        <w:t xml:space="preserve">7º.- ¿Puede fijarse un interés «notablemente superior al normal del dinero» y que no sea usurario? </w:t>
      </w:r>
    </w:p>
    <w:p w:rsidR="00823ED0" w:rsidRDefault="00823ED0" w:rsidP="00823ED0">
      <w:pPr>
        <w:spacing w:line="360" w:lineRule="auto"/>
        <w:jc w:val="both"/>
        <w:rPr>
          <w:rFonts w:ascii="Arial" w:hAnsi="Arial" w:cs="Arial"/>
        </w:rPr>
      </w:pPr>
      <w:r w:rsidRPr="00823ED0">
        <w:rPr>
          <w:rFonts w:ascii="Arial" w:hAnsi="Arial" w:cs="Arial"/>
        </w:rPr>
        <w:t>Sí. Siempre que estuvieran debidamente justificadas las causas por las que concurren circunstancias excepcionales que expliquen la estipulación de un interés notablemente superior al normal en las operaciones de crédito al consumo.</w:t>
      </w:r>
    </w:p>
    <w:p w:rsidR="00823ED0" w:rsidRPr="00823ED0" w:rsidRDefault="00823ED0" w:rsidP="00823ED0">
      <w:pPr>
        <w:spacing w:line="360" w:lineRule="auto"/>
        <w:jc w:val="both"/>
        <w:rPr>
          <w:rFonts w:ascii="Arial" w:hAnsi="Arial" w:cs="Arial"/>
        </w:rPr>
      </w:pPr>
    </w:p>
    <w:p w:rsidR="00823ED0" w:rsidRDefault="00823ED0" w:rsidP="00823ED0">
      <w:pPr>
        <w:spacing w:line="360" w:lineRule="auto"/>
        <w:jc w:val="both"/>
        <w:rPr>
          <w:rFonts w:ascii="Arial" w:hAnsi="Arial" w:cs="Arial"/>
        </w:rPr>
      </w:pPr>
      <w:r w:rsidRPr="00823ED0">
        <w:rPr>
          <w:rFonts w:ascii="Arial" w:hAnsi="Arial" w:cs="Arial"/>
        </w:rPr>
        <w:t xml:space="preserve">En este sentido el </w:t>
      </w:r>
      <w:proofErr w:type="spellStart"/>
      <w:r w:rsidRPr="00823ED0">
        <w:rPr>
          <w:rFonts w:ascii="Arial" w:hAnsi="Arial" w:cs="Arial"/>
        </w:rPr>
        <w:t>TS</w:t>
      </w:r>
      <w:proofErr w:type="spellEnd"/>
      <w:r w:rsidRPr="00823ED0">
        <w:rPr>
          <w:rFonts w:ascii="Arial" w:hAnsi="Arial" w:cs="Arial"/>
        </w:rPr>
        <w:t xml:space="preserve"> dice que pueden considerarse “circunstancias excepcionales” que permiten fijar un interés  «notablemente superior al normal del dinero» en función de:</w:t>
      </w:r>
    </w:p>
    <w:p w:rsidR="00823ED0" w:rsidRPr="00823ED0" w:rsidRDefault="00823ED0" w:rsidP="00823ED0">
      <w:pPr>
        <w:spacing w:line="360" w:lineRule="auto"/>
        <w:jc w:val="both"/>
        <w:rPr>
          <w:rFonts w:ascii="Arial" w:hAnsi="Arial" w:cs="Arial"/>
        </w:rPr>
      </w:pPr>
    </w:p>
    <w:p w:rsidR="00823ED0" w:rsidRPr="00823ED0" w:rsidRDefault="00823ED0" w:rsidP="00823ED0">
      <w:pPr>
        <w:spacing w:line="360" w:lineRule="auto"/>
        <w:jc w:val="both"/>
        <w:rPr>
          <w:rFonts w:ascii="Arial" w:hAnsi="Arial" w:cs="Arial"/>
        </w:rPr>
      </w:pPr>
      <w:r w:rsidRPr="00823ED0">
        <w:rPr>
          <w:rFonts w:ascii="Arial" w:hAnsi="Arial" w:cs="Arial"/>
        </w:rPr>
        <w:t>•</w:t>
      </w:r>
      <w:r w:rsidRPr="00823ED0">
        <w:rPr>
          <w:rFonts w:ascii="Arial" w:hAnsi="Arial" w:cs="Arial"/>
        </w:rPr>
        <w:tab/>
        <w:t>Riesgo de la operación. Cuando estemos ante una operación especialmente lucrativa pero de alto riesgo, está justificado que quien le financia, al igual que participa del riesgo, participe también de los altos beneficios esperados mediante la fijación de un interés notablemente superior al normal</w:t>
      </w:r>
    </w:p>
    <w:p w:rsidR="00823ED0" w:rsidRPr="00823ED0" w:rsidRDefault="00823ED0" w:rsidP="00823ED0">
      <w:pPr>
        <w:spacing w:line="360" w:lineRule="auto"/>
        <w:jc w:val="both"/>
        <w:rPr>
          <w:rFonts w:ascii="Arial" w:hAnsi="Arial" w:cs="Arial"/>
        </w:rPr>
      </w:pPr>
      <w:r w:rsidRPr="00823ED0">
        <w:rPr>
          <w:rFonts w:ascii="Arial" w:hAnsi="Arial" w:cs="Arial"/>
        </w:rPr>
        <w:t xml:space="preserve"> </w:t>
      </w:r>
    </w:p>
    <w:p w:rsidR="00823ED0" w:rsidRDefault="00823ED0" w:rsidP="00823ED0">
      <w:pPr>
        <w:spacing w:line="360" w:lineRule="auto"/>
        <w:jc w:val="both"/>
        <w:rPr>
          <w:rFonts w:ascii="Arial" w:hAnsi="Arial" w:cs="Arial"/>
        </w:rPr>
      </w:pPr>
      <w:r w:rsidRPr="00823ED0">
        <w:rPr>
          <w:rFonts w:ascii="Arial" w:hAnsi="Arial" w:cs="Arial"/>
        </w:rPr>
        <w:lastRenderedPageBreak/>
        <w:t>8º.- ¿Puede fijarse un interés «notablemente superior al normal del dinero» y que no sea usurario en microcréditos al consumo?</w:t>
      </w:r>
    </w:p>
    <w:p w:rsidR="00823ED0" w:rsidRPr="00823ED0" w:rsidRDefault="00823ED0" w:rsidP="00823ED0">
      <w:pPr>
        <w:spacing w:line="360" w:lineRule="auto"/>
        <w:jc w:val="both"/>
        <w:rPr>
          <w:rFonts w:ascii="Arial" w:hAnsi="Arial" w:cs="Arial"/>
        </w:rPr>
      </w:pPr>
    </w:p>
    <w:p w:rsidR="00823ED0" w:rsidRPr="00823ED0" w:rsidRDefault="00823ED0" w:rsidP="00823ED0">
      <w:pPr>
        <w:spacing w:line="360" w:lineRule="auto"/>
        <w:jc w:val="both"/>
        <w:rPr>
          <w:rFonts w:ascii="Arial" w:hAnsi="Arial" w:cs="Arial"/>
        </w:rPr>
      </w:pPr>
      <w:r w:rsidRPr="00823ED0">
        <w:rPr>
          <w:rFonts w:ascii="Arial" w:hAnsi="Arial" w:cs="Arial"/>
        </w:rPr>
        <w:t xml:space="preserve">A este respecto dice el </w:t>
      </w:r>
      <w:proofErr w:type="spellStart"/>
      <w:r w:rsidRPr="00823ED0">
        <w:rPr>
          <w:rFonts w:ascii="Arial" w:hAnsi="Arial" w:cs="Arial"/>
        </w:rPr>
        <w:t>TS</w:t>
      </w:r>
      <w:proofErr w:type="spellEnd"/>
      <w:r w:rsidRPr="00823ED0">
        <w:rPr>
          <w:rFonts w:ascii="Arial" w:hAnsi="Arial" w:cs="Arial"/>
        </w:rPr>
        <w:t>:</w:t>
      </w:r>
    </w:p>
    <w:p w:rsidR="00823ED0" w:rsidRDefault="00823ED0" w:rsidP="00823ED0">
      <w:pPr>
        <w:spacing w:line="360" w:lineRule="auto"/>
        <w:jc w:val="both"/>
        <w:rPr>
          <w:rFonts w:ascii="Arial" w:hAnsi="Arial" w:cs="Arial"/>
        </w:rPr>
      </w:pPr>
      <w:r w:rsidRPr="00823ED0">
        <w:rPr>
          <w:rFonts w:ascii="Arial" w:hAnsi="Arial" w:cs="Arial"/>
        </w:rPr>
        <w:t xml:space="preserve">Desde el punto de vista de la aplicación de la Ley de Represión de la Usura, un interés superior al que puede considerarse normal o medio en el mercado, como puede suceder en operaciones de crédito al consumo, no puede justificarse una elevación del tipo de interés tan desproporcionado en operaciones de financiación al consumo como la que ha tenido lugar en el caso objeto del recurso. </w:t>
      </w:r>
    </w:p>
    <w:p w:rsidR="00823ED0" w:rsidRPr="00823ED0" w:rsidRDefault="00823ED0" w:rsidP="00823ED0">
      <w:pPr>
        <w:spacing w:line="360" w:lineRule="auto"/>
        <w:jc w:val="both"/>
        <w:rPr>
          <w:rFonts w:ascii="Arial" w:hAnsi="Arial" w:cs="Arial"/>
        </w:rPr>
      </w:pPr>
    </w:p>
    <w:p w:rsidR="00823ED0" w:rsidRPr="00823ED0" w:rsidRDefault="00823ED0" w:rsidP="00823ED0">
      <w:pPr>
        <w:spacing w:line="360" w:lineRule="auto"/>
        <w:jc w:val="both"/>
        <w:rPr>
          <w:rFonts w:ascii="Arial" w:hAnsi="Arial" w:cs="Arial"/>
        </w:rPr>
      </w:pPr>
      <w:r w:rsidRPr="00823ED0">
        <w:rPr>
          <w:rFonts w:ascii="Arial" w:hAnsi="Arial" w:cs="Arial"/>
        </w:rPr>
        <w:t xml:space="preserve">Asimismo puntualiza que, las operaciones de crédito al consumo concedidas de un modo ágil y sin comprobar adecuadamente la capacidad de pago del prestatario no pueden considerarse de “Alto riesgo” con el objeto de entender que pueda aplicarse un interés «notablemente superior al normal del dinero», pues considera que la concesión de </w:t>
      </w:r>
      <w:proofErr w:type="spellStart"/>
      <w:r w:rsidRPr="00823ED0">
        <w:rPr>
          <w:rFonts w:ascii="Arial" w:hAnsi="Arial" w:cs="Arial"/>
        </w:rPr>
        <w:t>prestamos</w:t>
      </w:r>
      <w:proofErr w:type="spellEnd"/>
      <w:r w:rsidRPr="00823ED0">
        <w:rPr>
          <w:rFonts w:ascii="Arial" w:hAnsi="Arial" w:cs="Arial"/>
        </w:rPr>
        <w:t xml:space="preserve"> al consumo a tipos de interés muy superiores a los normales, que facilitan el endeudamiento, trae como consecuencia que quienes cumplen regularmente sus obligaciones tengan que cargar con las consecuencias del elevado nivel de impagos, no pudiendo el ordenamiento jurídico proteger este tipo de productos financieros.</w:t>
      </w:r>
    </w:p>
    <w:p w:rsidR="00823ED0" w:rsidRPr="00823ED0" w:rsidRDefault="00823ED0" w:rsidP="00823ED0">
      <w:pPr>
        <w:spacing w:line="360" w:lineRule="auto"/>
        <w:jc w:val="both"/>
        <w:rPr>
          <w:rFonts w:ascii="Arial" w:hAnsi="Arial" w:cs="Arial"/>
        </w:rPr>
      </w:pPr>
      <w:r w:rsidRPr="00823ED0">
        <w:rPr>
          <w:rFonts w:ascii="Arial" w:hAnsi="Arial" w:cs="Arial"/>
        </w:rPr>
        <w:t xml:space="preserve"> </w:t>
      </w:r>
    </w:p>
    <w:p w:rsidR="00823ED0" w:rsidRPr="00823ED0" w:rsidRDefault="00823ED0" w:rsidP="00823ED0">
      <w:pPr>
        <w:spacing w:line="360" w:lineRule="auto"/>
        <w:jc w:val="both"/>
        <w:rPr>
          <w:rFonts w:ascii="Arial" w:hAnsi="Arial" w:cs="Arial"/>
        </w:rPr>
      </w:pPr>
      <w:r w:rsidRPr="00823ED0">
        <w:rPr>
          <w:rFonts w:ascii="Arial" w:hAnsi="Arial" w:cs="Arial"/>
        </w:rPr>
        <w:t>9º.- ¿Qué implica que un interés sea considerado usurario?</w:t>
      </w:r>
    </w:p>
    <w:p w:rsidR="00823ED0" w:rsidRDefault="00823ED0" w:rsidP="00823ED0">
      <w:pPr>
        <w:spacing w:line="360" w:lineRule="auto"/>
        <w:jc w:val="both"/>
        <w:rPr>
          <w:rFonts w:ascii="Arial" w:hAnsi="Arial" w:cs="Arial"/>
        </w:rPr>
      </w:pPr>
      <w:r w:rsidRPr="00823ED0">
        <w:rPr>
          <w:rFonts w:ascii="Arial" w:hAnsi="Arial" w:cs="Arial"/>
        </w:rPr>
        <w:t>Esta declaración por parte de un Tribunal conlleva su nulidad, que ha sido calificada por el Tribunal Supremo como «radical, absoluta y originaria, que no admite convalidación confirmatoria, porque es fatalmente insubsanable, ni es susceptible de prescripción extintiv</w:t>
      </w:r>
      <w:r>
        <w:rPr>
          <w:rFonts w:ascii="Arial" w:hAnsi="Arial" w:cs="Arial"/>
        </w:rPr>
        <w:t>a</w:t>
      </w:r>
      <w:r w:rsidRPr="00823ED0">
        <w:rPr>
          <w:rFonts w:ascii="Arial" w:hAnsi="Arial" w:cs="Arial"/>
        </w:rPr>
        <w:t xml:space="preserve">» </w:t>
      </w:r>
    </w:p>
    <w:p w:rsidR="00823ED0" w:rsidRPr="00823ED0" w:rsidRDefault="00823ED0" w:rsidP="00823ED0">
      <w:pPr>
        <w:spacing w:line="360" w:lineRule="auto"/>
        <w:jc w:val="both"/>
        <w:rPr>
          <w:rFonts w:ascii="Arial" w:hAnsi="Arial" w:cs="Arial"/>
        </w:rPr>
      </w:pPr>
    </w:p>
    <w:p w:rsidR="00823ED0" w:rsidRPr="00823ED0" w:rsidRDefault="00823ED0" w:rsidP="00823ED0">
      <w:pPr>
        <w:spacing w:line="360" w:lineRule="auto"/>
        <w:jc w:val="both"/>
        <w:rPr>
          <w:rFonts w:ascii="Arial" w:hAnsi="Arial" w:cs="Arial"/>
        </w:rPr>
      </w:pPr>
      <w:r w:rsidRPr="00823ED0">
        <w:rPr>
          <w:rFonts w:ascii="Arial" w:hAnsi="Arial" w:cs="Arial"/>
        </w:rPr>
        <w:t xml:space="preserve">Por tanto, el Contrato que establezca un interés remuneratorio usurario será nulo. Esto implica que el prestatario estará obligado a entregar tan sólo la suma </w:t>
      </w:r>
      <w:r w:rsidRPr="00823ED0">
        <w:rPr>
          <w:rFonts w:ascii="Arial" w:hAnsi="Arial" w:cs="Arial"/>
        </w:rPr>
        <w:lastRenderedPageBreak/>
        <w:t>recibida.  Del mismo modo, si el prestatario hubiera satisfecho parte de la suma percibida como principal y los intereses vencidos, el prestamista devolverá al prestatario lo que, tomando en cuenta el total de lo percibido, exceda del capital prestado.</w:t>
      </w:r>
    </w:p>
    <w:p w:rsidR="00823ED0" w:rsidRPr="00823ED0" w:rsidRDefault="00823ED0" w:rsidP="00823ED0">
      <w:pPr>
        <w:spacing w:line="360" w:lineRule="auto"/>
        <w:jc w:val="both"/>
        <w:rPr>
          <w:rFonts w:ascii="Arial" w:hAnsi="Arial" w:cs="Arial"/>
        </w:rPr>
      </w:pPr>
      <w:r>
        <w:rPr>
          <w:rFonts w:ascii="Arial" w:hAnsi="Arial" w:cs="Arial"/>
        </w:rPr>
        <w:t xml:space="preserve">  </w:t>
      </w:r>
    </w:p>
    <w:p w:rsidR="00823ED0" w:rsidRPr="00823ED0" w:rsidRDefault="00823ED0" w:rsidP="00823ED0">
      <w:pPr>
        <w:spacing w:line="360" w:lineRule="auto"/>
        <w:jc w:val="both"/>
        <w:rPr>
          <w:rFonts w:ascii="Arial" w:hAnsi="Arial" w:cs="Arial"/>
        </w:rPr>
      </w:pPr>
      <w:r w:rsidRPr="00823ED0">
        <w:rPr>
          <w:rFonts w:ascii="Arial" w:hAnsi="Arial" w:cs="Arial"/>
        </w:rPr>
        <w:t xml:space="preserve"> </w:t>
      </w:r>
    </w:p>
    <w:p w:rsidR="00823ED0" w:rsidRPr="00823ED0" w:rsidRDefault="00823ED0" w:rsidP="00823ED0">
      <w:pPr>
        <w:spacing w:line="360" w:lineRule="auto"/>
        <w:jc w:val="both"/>
        <w:rPr>
          <w:rFonts w:ascii="Arial" w:hAnsi="Arial" w:cs="Arial"/>
        </w:rPr>
      </w:pPr>
      <w:r>
        <w:rPr>
          <w:rFonts w:ascii="Arial" w:hAnsi="Arial" w:cs="Arial"/>
        </w:rPr>
        <w:t xml:space="preserve"> </w:t>
      </w:r>
    </w:p>
    <w:p w:rsidR="00823ED0" w:rsidRPr="00823ED0" w:rsidRDefault="00823ED0" w:rsidP="00823ED0">
      <w:pPr>
        <w:spacing w:line="360" w:lineRule="auto"/>
        <w:jc w:val="both"/>
        <w:rPr>
          <w:rFonts w:ascii="Arial" w:hAnsi="Arial" w:cs="Arial"/>
        </w:rPr>
      </w:pPr>
      <w:r w:rsidRPr="00823ED0">
        <w:rPr>
          <w:rFonts w:ascii="Arial" w:hAnsi="Arial" w:cs="Arial"/>
        </w:rPr>
        <w:t xml:space="preserve">Tras el análisis realizado no puedo terminar sin dar una brevísima opinión sobre la sentencia en cuestión. La sentencia determina la condición abusiva de los intereses determinados para el crédito en concreto que se enjuicia, nada más. En este sentido es interesante ver qué elementos ha llevado al </w:t>
      </w:r>
      <w:proofErr w:type="spellStart"/>
      <w:r w:rsidRPr="00823ED0">
        <w:rPr>
          <w:rFonts w:ascii="Arial" w:hAnsi="Arial" w:cs="Arial"/>
        </w:rPr>
        <w:t>TS</w:t>
      </w:r>
      <w:proofErr w:type="spellEnd"/>
      <w:r w:rsidRPr="00823ED0">
        <w:rPr>
          <w:rFonts w:ascii="Arial" w:hAnsi="Arial" w:cs="Arial"/>
        </w:rPr>
        <w:t xml:space="preserve"> a considerar que los intereses de dicho crédito eran abusivos.</w:t>
      </w:r>
    </w:p>
    <w:p w:rsidR="00823ED0" w:rsidRPr="00823ED0" w:rsidRDefault="00823ED0" w:rsidP="00823ED0">
      <w:pPr>
        <w:spacing w:line="360" w:lineRule="auto"/>
        <w:jc w:val="both"/>
        <w:rPr>
          <w:rFonts w:ascii="Arial" w:hAnsi="Arial" w:cs="Arial"/>
        </w:rPr>
      </w:pPr>
      <w:r w:rsidRPr="00823ED0">
        <w:rPr>
          <w:rFonts w:ascii="Arial" w:hAnsi="Arial" w:cs="Arial"/>
        </w:rPr>
        <w:t xml:space="preserve">Sin embargo no podemos olvidar que hoy día en el mercado de los préstamos al consumo hay muchas categorías de préstamos y que por sus especiales diferencias tienen intereses muy variados. Asimismo conviene recordar que el Banco de España no regula los microcréditos y créditos rápidos, y que por tanto cuando determina el interés normal de los </w:t>
      </w:r>
      <w:proofErr w:type="spellStart"/>
      <w:proofErr w:type="gramStart"/>
      <w:r w:rsidRPr="00823ED0">
        <w:rPr>
          <w:rFonts w:ascii="Arial" w:hAnsi="Arial" w:cs="Arial"/>
        </w:rPr>
        <w:t>prestamos</w:t>
      </w:r>
      <w:proofErr w:type="spellEnd"/>
      <w:proofErr w:type="gramEnd"/>
      <w:r w:rsidRPr="00823ED0">
        <w:rPr>
          <w:rFonts w:ascii="Arial" w:hAnsi="Arial" w:cs="Arial"/>
        </w:rPr>
        <w:t xml:space="preserve"> al consumo no incluye los tipos aplicados por la mayoría de las empresas del sector de los microcréditos y créditos rápidos. Asimismo, no puedo concluir sin decir que no considero que la TAE o Tasa Anual Equivalente, ofrece una referencia del interés con plazo de 1 año, por ello no creo que  sea el elemento más adecuado para comparar de forma eficiente los microcréditos y créditos rápidos que en la mayoría de los casos se conceden por plazos no superiores a 30 días.</w:t>
      </w:r>
    </w:p>
    <w:p w:rsidR="00DB1736" w:rsidRPr="003C31D5" w:rsidRDefault="00DB1736" w:rsidP="003C31D5">
      <w:pPr>
        <w:spacing w:line="360" w:lineRule="auto"/>
        <w:jc w:val="both"/>
        <w:rPr>
          <w:rFonts w:ascii="Arial" w:hAnsi="Arial" w:cs="Arial"/>
        </w:rPr>
      </w:pPr>
    </w:p>
    <w:p w:rsidR="00E0075E" w:rsidRDefault="00E0075E" w:rsidP="00245534">
      <w:pPr>
        <w:spacing w:line="360" w:lineRule="auto"/>
        <w:jc w:val="both"/>
        <w:rPr>
          <w:rFonts w:ascii="Arial" w:hAnsi="Arial" w:cs="Arial"/>
        </w:rPr>
      </w:pPr>
    </w:p>
    <w:p w:rsidR="00823ED0" w:rsidRDefault="00823ED0" w:rsidP="00245534">
      <w:pPr>
        <w:spacing w:line="360" w:lineRule="auto"/>
        <w:jc w:val="both"/>
        <w:rPr>
          <w:rFonts w:ascii="Arial" w:hAnsi="Arial" w:cs="Arial"/>
        </w:rPr>
      </w:pPr>
    </w:p>
    <w:p w:rsidR="00823ED0" w:rsidRDefault="00823ED0" w:rsidP="00245534">
      <w:pPr>
        <w:spacing w:line="360" w:lineRule="auto"/>
        <w:jc w:val="both"/>
        <w:rPr>
          <w:rFonts w:ascii="Arial" w:hAnsi="Arial" w:cs="Arial"/>
        </w:rPr>
      </w:pPr>
    </w:p>
    <w:p w:rsidR="00823ED0" w:rsidRDefault="00823ED0" w:rsidP="00245534">
      <w:pPr>
        <w:spacing w:line="360" w:lineRule="auto"/>
        <w:jc w:val="both"/>
        <w:rPr>
          <w:rFonts w:ascii="Arial" w:hAnsi="Arial" w:cs="Arial"/>
        </w:rPr>
      </w:pPr>
    </w:p>
    <w:p w:rsidR="00823ED0" w:rsidRDefault="00823ED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A60FC0" w:rsidRDefault="00A60FC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DB1736" w:rsidRDefault="009009ED" w:rsidP="00245534">
      <w:pPr>
        <w:spacing w:line="360" w:lineRule="auto"/>
        <w:jc w:val="both"/>
        <w:rPr>
          <w:rFonts w:ascii="Arial" w:hAnsi="Arial" w:cs="Arial"/>
        </w:rPr>
      </w:pPr>
      <w:r>
        <w:rPr>
          <w:rFonts w:ascii="Arial" w:hAnsi="Arial" w:cs="Arial"/>
          <w:noProof/>
        </w:rPr>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D02291" w:rsidRPr="00245534" w:rsidRDefault="00D02291" w:rsidP="009009ED">
      <w:pPr>
        <w:spacing w:line="360" w:lineRule="auto"/>
        <w:jc w:val="both"/>
        <w:rPr>
          <w:rFonts w:ascii="Arial" w:hAnsi="Arial" w:cs="Arial"/>
        </w:rPr>
      </w:pPr>
    </w:p>
    <w:sectPr w:rsidR="00D02291" w:rsidRPr="00245534"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C6C" w:rsidRDefault="00626C6C">
      <w:r>
        <w:separator/>
      </w:r>
    </w:p>
  </w:endnote>
  <w:endnote w:type="continuationSeparator" w:id="0">
    <w:p w:rsidR="00626C6C" w:rsidRDefault="00626C6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06337"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06337"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823ED0">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C6C" w:rsidRDefault="00626C6C">
      <w:r>
        <w:separator/>
      </w:r>
    </w:p>
  </w:footnote>
  <w:footnote w:type="continuationSeparator" w:id="0">
    <w:p w:rsidR="00626C6C" w:rsidRDefault="00626C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06337">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06337"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06337">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grammar="clean"/>
  <w:stylePaneFormatFilter w:val="3F01"/>
  <w:defaultTabStop w:val="708"/>
  <w:hyphenationZone w:val="425"/>
  <w:characterSpacingControl w:val="doNotCompress"/>
  <w:hdrShapeDefaults>
    <o:shapedefaults v:ext="edit" spidmax="566274"/>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22BD2"/>
    <w:rsid w:val="00024FEF"/>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363"/>
    <w:rsid w:val="00067615"/>
    <w:rsid w:val="000677B4"/>
    <w:rsid w:val="00067EEE"/>
    <w:rsid w:val="000704AB"/>
    <w:rsid w:val="00072160"/>
    <w:rsid w:val="00072735"/>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A5F"/>
    <w:rsid w:val="000B30D9"/>
    <w:rsid w:val="000C16DA"/>
    <w:rsid w:val="000C2041"/>
    <w:rsid w:val="000C22DA"/>
    <w:rsid w:val="000C337E"/>
    <w:rsid w:val="000C3873"/>
    <w:rsid w:val="000C47AE"/>
    <w:rsid w:val="000C4953"/>
    <w:rsid w:val="000D5D61"/>
    <w:rsid w:val="000D6B11"/>
    <w:rsid w:val="000E1823"/>
    <w:rsid w:val="000E27E7"/>
    <w:rsid w:val="000F1749"/>
    <w:rsid w:val="000F305D"/>
    <w:rsid w:val="000F5A8D"/>
    <w:rsid w:val="000F7076"/>
    <w:rsid w:val="000F7844"/>
    <w:rsid w:val="0010060C"/>
    <w:rsid w:val="0010178D"/>
    <w:rsid w:val="00101CFD"/>
    <w:rsid w:val="00101E4E"/>
    <w:rsid w:val="0011301C"/>
    <w:rsid w:val="0011338B"/>
    <w:rsid w:val="001172ED"/>
    <w:rsid w:val="00117AA2"/>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5B70"/>
    <w:rsid w:val="00157604"/>
    <w:rsid w:val="00162E93"/>
    <w:rsid w:val="00163318"/>
    <w:rsid w:val="0016353A"/>
    <w:rsid w:val="00165508"/>
    <w:rsid w:val="00166951"/>
    <w:rsid w:val="00170C4A"/>
    <w:rsid w:val="00170D3F"/>
    <w:rsid w:val="001737EB"/>
    <w:rsid w:val="00175CE4"/>
    <w:rsid w:val="001765E7"/>
    <w:rsid w:val="001771E6"/>
    <w:rsid w:val="00181091"/>
    <w:rsid w:val="001829D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4C3A"/>
    <w:rsid w:val="001D5763"/>
    <w:rsid w:val="001D6AB5"/>
    <w:rsid w:val="001D7106"/>
    <w:rsid w:val="001E0A4E"/>
    <w:rsid w:val="001E0D97"/>
    <w:rsid w:val="001E278F"/>
    <w:rsid w:val="001E3E5C"/>
    <w:rsid w:val="001E438D"/>
    <w:rsid w:val="001E491C"/>
    <w:rsid w:val="001E5F6F"/>
    <w:rsid w:val="001F194A"/>
    <w:rsid w:val="001F2637"/>
    <w:rsid w:val="001F56C0"/>
    <w:rsid w:val="00201B79"/>
    <w:rsid w:val="00202275"/>
    <w:rsid w:val="00204913"/>
    <w:rsid w:val="002054C7"/>
    <w:rsid w:val="00205758"/>
    <w:rsid w:val="00206865"/>
    <w:rsid w:val="00214BAE"/>
    <w:rsid w:val="0021672E"/>
    <w:rsid w:val="00222D9D"/>
    <w:rsid w:val="00224282"/>
    <w:rsid w:val="00225477"/>
    <w:rsid w:val="00227116"/>
    <w:rsid w:val="00227944"/>
    <w:rsid w:val="0023233C"/>
    <w:rsid w:val="00232DFC"/>
    <w:rsid w:val="0023355F"/>
    <w:rsid w:val="00234CC5"/>
    <w:rsid w:val="00236A04"/>
    <w:rsid w:val="00241163"/>
    <w:rsid w:val="00241305"/>
    <w:rsid w:val="00241A9E"/>
    <w:rsid w:val="00245534"/>
    <w:rsid w:val="002456D5"/>
    <w:rsid w:val="00246CF8"/>
    <w:rsid w:val="00247F1A"/>
    <w:rsid w:val="00250136"/>
    <w:rsid w:val="0025036B"/>
    <w:rsid w:val="002503E9"/>
    <w:rsid w:val="00250B2A"/>
    <w:rsid w:val="00255846"/>
    <w:rsid w:val="00261EEC"/>
    <w:rsid w:val="00265D3C"/>
    <w:rsid w:val="002661E3"/>
    <w:rsid w:val="00266FF5"/>
    <w:rsid w:val="00267153"/>
    <w:rsid w:val="00270928"/>
    <w:rsid w:val="002726AC"/>
    <w:rsid w:val="002744D4"/>
    <w:rsid w:val="002759CE"/>
    <w:rsid w:val="002821BC"/>
    <w:rsid w:val="00282546"/>
    <w:rsid w:val="00283E8B"/>
    <w:rsid w:val="00284FAC"/>
    <w:rsid w:val="002860A4"/>
    <w:rsid w:val="002863E2"/>
    <w:rsid w:val="00287D71"/>
    <w:rsid w:val="00296DF2"/>
    <w:rsid w:val="002A0150"/>
    <w:rsid w:val="002A06DB"/>
    <w:rsid w:val="002A2EE4"/>
    <w:rsid w:val="002A45BF"/>
    <w:rsid w:val="002A6352"/>
    <w:rsid w:val="002A670B"/>
    <w:rsid w:val="002B04BE"/>
    <w:rsid w:val="002B268C"/>
    <w:rsid w:val="002B29D4"/>
    <w:rsid w:val="002B4021"/>
    <w:rsid w:val="002B579C"/>
    <w:rsid w:val="002B6667"/>
    <w:rsid w:val="002B7517"/>
    <w:rsid w:val="002B7B7F"/>
    <w:rsid w:val="002C2243"/>
    <w:rsid w:val="002C61B5"/>
    <w:rsid w:val="002C68B7"/>
    <w:rsid w:val="002D11AD"/>
    <w:rsid w:val="002D21BE"/>
    <w:rsid w:val="002D2ED2"/>
    <w:rsid w:val="002D32FE"/>
    <w:rsid w:val="002D50B8"/>
    <w:rsid w:val="002E053F"/>
    <w:rsid w:val="002E3AC7"/>
    <w:rsid w:val="002E3BC0"/>
    <w:rsid w:val="002E44E1"/>
    <w:rsid w:val="002F042F"/>
    <w:rsid w:val="002F0907"/>
    <w:rsid w:val="002F13C6"/>
    <w:rsid w:val="002F2F7D"/>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0383"/>
    <w:rsid w:val="00351ABF"/>
    <w:rsid w:val="00353DF2"/>
    <w:rsid w:val="00357DD2"/>
    <w:rsid w:val="00361A96"/>
    <w:rsid w:val="00365E50"/>
    <w:rsid w:val="0036668D"/>
    <w:rsid w:val="00366E63"/>
    <w:rsid w:val="003672E1"/>
    <w:rsid w:val="0036733A"/>
    <w:rsid w:val="00367EC5"/>
    <w:rsid w:val="00372666"/>
    <w:rsid w:val="00373292"/>
    <w:rsid w:val="003737F2"/>
    <w:rsid w:val="00374027"/>
    <w:rsid w:val="00381299"/>
    <w:rsid w:val="003825CB"/>
    <w:rsid w:val="00392899"/>
    <w:rsid w:val="00393327"/>
    <w:rsid w:val="0039786D"/>
    <w:rsid w:val="003A1F2B"/>
    <w:rsid w:val="003A3123"/>
    <w:rsid w:val="003A6BA9"/>
    <w:rsid w:val="003B2016"/>
    <w:rsid w:val="003B28C1"/>
    <w:rsid w:val="003B294C"/>
    <w:rsid w:val="003B4424"/>
    <w:rsid w:val="003B5346"/>
    <w:rsid w:val="003B6C70"/>
    <w:rsid w:val="003B6FA8"/>
    <w:rsid w:val="003B70A6"/>
    <w:rsid w:val="003B736D"/>
    <w:rsid w:val="003C0CCA"/>
    <w:rsid w:val="003C1F2E"/>
    <w:rsid w:val="003C242B"/>
    <w:rsid w:val="003C31D5"/>
    <w:rsid w:val="003D0308"/>
    <w:rsid w:val="003D1CE9"/>
    <w:rsid w:val="003D31EA"/>
    <w:rsid w:val="003D3682"/>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38C"/>
    <w:rsid w:val="004069A0"/>
    <w:rsid w:val="004136B4"/>
    <w:rsid w:val="00414CA4"/>
    <w:rsid w:val="00415284"/>
    <w:rsid w:val="004164A6"/>
    <w:rsid w:val="004169D7"/>
    <w:rsid w:val="00424146"/>
    <w:rsid w:val="00424999"/>
    <w:rsid w:val="00424E68"/>
    <w:rsid w:val="00430075"/>
    <w:rsid w:val="004310CD"/>
    <w:rsid w:val="00433028"/>
    <w:rsid w:val="00434F53"/>
    <w:rsid w:val="00441CF6"/>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32D"/>
    <w:rsid w:val="00483D29"/>
    <w:rsid w:val="00484304"/>
    <w:rsid w:val="004856E9"/>
    <w:rsid w:val="0048734A"/>
    <w:rsid w:val="004908A3"/>
    <w:rsid w:val="0049251A"/>
    <w:rsid w:val="00494FEF"/>
    <w:rsid w:val="00495EC9"/>
    <w:rsid w:val="0049641D"/>
    <w:rsid w:val="004A04E5"/>
    <w:rsid w:val="004A2021"/>
    <w:rsid w:val="004A4482"/>
    <w:rsid w:val="004A6D3B"/>
    <w:rsid w:val="004B28BD"/>
    <w:rsid w:val="004B5793"/>
    <w:rsid w:val="004C1C76"/>
    <w:rsid w:val="004C1F35"/>
    <w:rsid w:val="004C2912"/>
    <w:rsid w:val="004C358F"/>
    <w:rsid w:val="004C4D7A"/>
    <w:rsid w:val="004C4DD6"/>
    <w:rsid w:val="004C5EF2"/>
    <w:rsid w:val="004C7442"/>
    <w:rsid w:val="004D1089"/>
    <w:rsid w:val="004D11E2"/>
    <w:rsid w:val="004D157E"/>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2F2D"/>
    <w:rsid w:val="00506161"/>
    <w:rsid w:val="005071ED"/>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57B2C"/>
    <w:rsid w:val="00561F15"/>
    <w:rsid w:val="005636FA"/>
    <w:rsid w:val="0056683D"/>
    <w:rsid w:val="00573B2A"/>
    <w:rsid w:val="00577EC0"/>
    <w:rsid w:val="00583DF0"/>
    <w:rsid w:val="00586A96"/>
    <w:rsid w:val="00586AA3"/>
    <w:rsid w:val="00587A94"/>
    <w:rsid w:val="00590C68"/>
    <w:rsid w:val="005913E9"/>
    <w:rsid w:val="00594857"/>
    <w:rsid w:val="00595B9D"/>
    <w:rsid w:val="00595E1F"/>
    <w:rsid w:val="00597940"/>
    <w:rsid w:val="005B22DA"/>
    <w:rsid w:val="005B2316"/>
    <w:rsid w:val="005B364E"/>
    <w:rsid w:val="005B4DE8"/>
    <w:rsid w:val="005B56D9"/>
    <w:rsid w:val="005B6F38"/>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25C64"/>
    <w:rsid w:val="00626C6C"/>
    <w:rsid w:val="0063047C"/>
    <w:rsid w:val="00630B0B"/>
    <w:rsid w:val="0063121F"/>
    <w:rsid w:val="00632790"/>
    <w:rsid w:val="006338D1"/>
    <w:rsid w:val="00643141"/>
    <w:rsid w:val="00645015"/>
    <w:rsid w:val="00646C1D"/>
    <w:rsid w:val="006505F3"/>
    <w:rsid w:val="00655691"/>
    <w:rsid w:val="00657119"/>
    <w:rsid w:val="00657BF6"/>
    <w:rsid w:val="0066098A"/>
    <w:rsid w:val="00662A21"/>
    <w:rsid w:val="0066302C"/>
    <w:rsid w:val="006631FB"/>
    <w:rsid w:val="006636A4"/>
    <w:rsid w:val="00664269"/>
    <w:rsid w:val="00664504"/>
    <w:rsid w:val="00667AD7"/>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7334"/>
    <w:rsid w:val="006A1490"/>
    <w:rsid w:val="006A1BCD"/>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90F"/>
    <w:rsid w:val="006D5D22"/>
    <w:rsid w:val="006E3887"/>
    <w:rsid w:val="006E6BA2"/>
    <w:rsid w:val="006E73A1"/>
    <w:rsid w:val="006E74F1"/>
    <w:rsid w:val="006E7547"/>
    <w:rsid w:val="006F4431"/>
    <w:rsid w:val="006F6E0F"/>
    <w:rsid w:val="007019DC"/>
    <w:rsid w:val="00701F10"/>
    <w:rsid w:val="00702306"/>
    <w:rsid w:val="00702897"/>
    <w:rsid w:val="00703FAD"/>
    <w:rsid w:val="00706337"/>
    <w:rsid w:val="00717478"/>
    <w:rsid w:val="00721D3E"/>
    <w:rsid w:val="00722C56"/>
    <w:rsid w:val="007252D3"/>
    <w:rsid w:val="00726804"/>
    <w:rsid w:val="00727120"/>
    <w:rsid w:val="00727173"/>
    <w:rsid w:val="0072781A"/>
    <w:rsid w:val="00730F24"/>
    <w:rsid w:val="00731EBB"/>
    <w:rsid w:val="007320B2"/>
    <w:rsid w:val="007348FE"/>
    <w:rsid w:val="00734A63"/>
    <w:rsid w:val="00734BA9"/>
    <w:rsid w:val="00741184"/>
    <w:rsid w:val="007419EB"/>
    <w:rsid w:val="00742C05"/>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4850"/>
    <w:rsid w:val="007A6627"/>
    <w:rsid w:val="007A6B05"/>
    <w:rsid w:val="007A761F"/>
    <w:rsid w:val="007B3BCE"/>
    <w:rsid w:val="007C19AA"/>
    <w:rsid w:val="007C19D7"/>
    <w:rsid w:val="007C1D60"/>
    <w:rsid w:val="007C2808"/>
    <w:rsid w:val="007C312B"/>
    <w:rsid w:val="007C669E"/>
    <w:rsid w:val="007D0005"/>
    <w:rsid w:val="007D25B7"/>
    <w:rsid w:val="007D64DE"/>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5F59"/>
    <w:rsid w:val="00806BD3"/>
    <w:rsid w:val="00814E70"/>
    <w:rsid w:val="00815FBD"/>
    <w:rsid w:val="008162AD"/>
    <w:rsid w:val="00817F2A"/>
    <w:rsid w:val="00823ED0"/>
    <w:rsid w:val="00825050"/>
    <w:rsid w:val="00832245"/>
    <w:rsid w:val="008343D7"/>
    <w:rsid w:val="00840498"/>
    <w:rsid w:val="00841973"/>
    <w:rsid w:val="008420A6"/>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6216"/>
    <w:rsid w:val="0088710E"/>
    <w:rsid w:val="00890667"/>
    <w:rsid w:val="008916FC"/>
    <w:rsid w:val="00895754"/>
    <w:rsid w:val="008A04B0"/>
    <w:rsid w:val="008A0927"/>
    <w:rsid w:val="008A7198"/>
    <w:rsid w:val="008B1379"/>
    <w:rsid w:val="008B1469"/>
    <w:rsid w:val="008B271D"/>
    <w:rsid w:val="008B475A"/>
    <w:rsid w:val="008B6D39"/>
    <w:rsid w:val="008C05D0"/>
    <w:rsid w:val="008C1B2F"/>
    <w:rsid w:val="008C1D08"/>
    <w:rsid w:val="008D740A"/>
    <w:rsid w:val="008E5B16"/>
    <w:rsid w:val="008E7057"/>
    <w:rsid w:val="008F00DE"/>
    <w:rsid w:val="008F073F"/>
    <w:rsid w:val="008F15E4"/>
    <w:rsid w:val="008F30F8"/>
    <w:rsid w:val="008F4096"/>
    <w:rsid w:val="008F6439"/>
    <w:rsid w:val="009009ED"/>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1AB"/>
    <w:rsid w:val="009438A7"/>
    <w:rsid w:val="00946110"/>
    <w:rsid w:val="00947AA3"/>
    <w:rsid w:val="00947BA6"/>
    <w:rsid w:val="00953B80"/>
    <w:rsid w:val="00960B1B"/>
    <w:rsid w:val="00963694"/>
    <w:rsid w:val="00963829"/>
    <w:rsid w:val="009653C8"/>
    <w:rsid w:val="0096679C"/>
    <w:rsid w:val="00966939"/>
    <w:rsid w:val="00967966"/>
    <w:rsid w:val="0097066B"/>
    <w:rsid w:val="00971FA9"/>
    <w:rsid w:val="00972339"/>
    <w:rsid w:val="0097243F"/>
    <w:rsid w:val="009725D8"/>
    <w:rsid w:val="0097529C"/>
    <w:rsid w:val="00982CBB"/>
    <w:rsid w:val="00983DAD"/>
    <w:rsid w:val="00984342"/>
    <w:rsid w:val="00984632"/>
    <w:rsid w:val="00985ACC"/>
    <w:rsid w:val="00985CDE"/>
    <w:rsid w:val="00987906"/>
    <w:rsid w:val="00991C9D"/>
    <w:rsid w:val="00993871"/>
    <w:rsid w:val="0099563E"/>
    <w:rsid w:val="00996BCB"/>
    <w:rsid w:val="009A0719"/>
    <w:rsid w:val="009A0A05"/>
    <w:rsid w:val="009A2007"/>
    <w:rsid w:val="009A2266"/>
    <w:rsid w:val="009B39B1"/>
    <w:rsid w:val="009B433E"/>
    <w:rsid w:val="009B5B8D"/>
    <w:rsid w:val="009B6BE2"/>
    <w:rsid w:val="009B7116"/>
    <w:rsid w:val="009C1396"/>
    <w:rsid w:val="009C162D"/>
    <w:rsid w:val="009C1654"/>
    <w:rsid w:val="009C3C6E"/>
    <w:rsid w:val="009C4094"/>
    <w:rsid w:val="009C4524"/>
    <w:rsid w:val="009C4E81"/>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4146"/>
    <w:rsid w:val="00A26AB9"/>
    <w:rsid w:val="00A26B35"/>
    <w:rsid w:val="00A30616"/>
    <w:rsid w:val="00A32604"/>
    <w:rsid w:val="00A3314E"/>
    <w:rsid w:val="00A35735"/>
    <w:rsid w:val="00A41704"/>
    <w:rsid w:val="00A5336A"/>
    <w:rsid w:val="00A60FC0"/>
    <w:rsid w:val="00A61999"/>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6AE7"/>
    <w:rsid w:val="00AA7BA7"/>
    <w:rsid w:val="00AA7EDC"/>
    <w:rsid w:val="00AB6645"/>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A16"/>
    <w:rsid w:val="00B4707A"/>
    <w:rsid w:val="00B51FE2"/>
    <w:rsid w:val="00B5283C"/>
    <w:rsid w:val="00B52CEA"/>
    <w:rsid w:val="00B665F0"/>
    <w:rsid w:val="00B6674D"/>
    <w:rsid w:val="00B70728"/>
    <w:rsid w:val="00B7291D"/>
    <w:rsid w:val="00B73B39"/>
    <w:rsid w:val="00B75112"/>
    <w:rsid w:val="00B756ED"/>
    <w:rsid w:val="00B77CE2"/>
    <w:rsid w:val="00B80312"/>
    <w:rsid w:val="00B81103"/>
    <w:rsid w:val="00B82E88"/>
    <w:rsid w:val="00B8736D"/>
    <w:rsid w:val="00B90E01"/>
    <w:rsid w:val="00B912B4"/>
    <w:rsid w:val="00B94CE0"/>
    <w:rsid w:val="00B956CA"/>
    <w:rsid w:val="00B962CF"/>
    <w:rsid w:val="00BA3E7B"/>
    <w:rsid w:val="00BA65BE"/>
    <w:rsid w:val="00BA697C"/>
    <w:rsid w:val="00BA7AE0"/>
    <w:rsid w:val="00BB02A0"/>
    <w:rsid w:val="00BB0E21"/>
    <w:rsid w:val="00BB1FE4"/>
    <w:rsid w:val="00BB23CF"/>
    <w:rsid w:val="00BB37AC"/>
    <w:rsid w:val="00BB42CD"/>
    <w:rsid w:val="00BB5999"/>
    <w:rsid w:val="00BB6725"/>
    <w:rsid w:val="00BB6735"/>
    <w:rsid w:val="00BB6E2A"/>
    <w:rsid w:val="00BC0695"/>
    <w:rsid w:val="00BC0FC8"/>
    <w:rsid w:val="00BC305B"/>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4C6D"/>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09C3"/>
    <w:rsid w:val="00CB2852"/>
    <w:rsid w:val="00CB5861"/>
    <w:rsid w:val="00CB5DEA"/>
    <w:rsid w:val="00CB7DF6"/>
    <w:rsid w:val="00CC4A28"/>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1FFC"/>
    <w:rsid w:val="00D23363"/>
    <w:rsid w:val="00D23529"/>
    <w:rsid w:val="00D24ABE"/>
    <w:rsid w:val="00D27A93"/>
    <w:rsid w:val="00D3198F"/>
    <w:rsid w:val="00D32FF8"/>
    <w:rsid w:val="00D33815"/>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616"/>
    <w:rsid w:val="00D71DD8"/>
    <w:rsid w:val="00D7270E"/>
    <w:rsid w:val="00D73551"/>
    <w:rsid w:val="00D74366"/>
    <w:rsid w:val="00D7624F"/>
    <w:rsid w:val="00D83636"/>
    <w:rsid w:val="00D83FB0"/>
    <w:rsid w:val="00D84073"/>
    <w:rsid w:val="00D840C3"/>
    <w:rsid w:val="00D85B67"/>
    <w:rsid w:val="00D8664C"/>
    <w:rsid w:val="00D91BBD"/>
    <w:rsid w:val="00D93BDB"/>
    <w:rsid w:val="00D93C06"/>
    <w:rsid w:val="00DA035E"/>
    <w:rsid w:val="00DA2A7E"/>
    <w:rsid w:val="00DA3B37"/>
    <w:rsid w:val="00DA5CEF"/>
    <w:rsid w:val="00DA7836"/>
    <w:rsid w:val="00DB0789"/>
    <w:rsid w:val="00DB0B67"/>
    <w:rsid w:val="00DB107B"/>
    <w:rsid w:val="00DB1736"/>
    <w:rsid w:val="00DB3A08"/>
    <w:rsid w:val="00DB6FE4"/>
    <w:rsid w:val="00DB7CC5"/>
    <w:rsid w:val="00DC1095"/>
    <w:rsid w:val="00DC1455"/>
    <w:rsid w:val="00DC2219"/>
    <w:rsid w:val="00DC287F"/>
    <w:rsid w:val="00DC42E5"/>
    <w:rsid w:val="00DC7EF8"/>
    <w:rsid w:val="00DD1B7E"/>
    <w:rsid w:val="00DD2A26"/>
    <w:rsid w:val="00DD529E"/>
    <w:rsid w:val="00DD6B7F"/>
    <w:rsid w:val="00DD7FE9"/>
    <w:rsid w:val="00DE4686"/>
    <w:rsid w:val="00DE761A"/>
    <w:rsid w:val="00DF069E"/>
    <w:rsid w:val="00DF2C68"/>
    <w:rsid w:val="00E0075E"/>
    <w:rsid w:val="00E00F46"/>
    <w:rsid w:val="00E056CD"/>
    <w:rsid w:val="00E058E4"/>
    <w:rsid w:val="00E07BDD"/>
    <w:rsid w:val="00E07D78"/>
    <w:rsid w:val="00E10E58"/>
    <w:rsid w:val="00E113EC"/>
    <w:rsid w:val="00E116DF"/>
    <w:rsid w:val="00E123C5"/>
    <w:rsid w:val="00E14E5D"/>
    <w:rsid w:val="00E15970"/>
    <w:rsid w:val="00E226A3"/>
    <w:rsid w:val="00E25057"/>
    <w:rsid w:val="00E32759"/>
    <w:rsid w:val="00E33AB0"/>
    <w:rsid w:val="00E348A5"/>
    <w:rsid w:val="00E40DAC"/>
    <w:rsid w:val="00E42755"/>
    <w:rsid w:val="00E42BF7"/>
    <w:rsid w:val="00E43B6D"/>
    <w:rsid w:val="00E43B72"/>
    <w:rsid w:val="00E47CD0"/>
    <w:rsid w:val="00E51257"/>
    <w:rsid w:val="00E52D15"/>
    <w:rsid w:val="00E54A89"/>
    <w:rsid w:val="00E614F2"/>
    <w:rsid w:val="00E634E5"/>
    <w:rsid w:val="00E65C23"/>
    <w:rsid w:val="00E6697D"/>
    <w:rsid w:val="00E66B9E"/>
    <w:rsid w:val="00E71175"/>
    <w:rsid w:val="00E72249"/>
    <w:rsid w:val="00E73FED"/>
    <w:rsid w:val="00E75290"/>
    <w:rsid w:val="00E803DC"/>
    <w:rsid w:val="00E852FB"/>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5A82"/>
    <w:rsid w:val="00EC65E3"/>
    <w:rsid w:val="00EC6633"/>
    <w:rsid w:val="00ED0988"/>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2C5C"/>
    <w:rsid w:val="00F338AF"/>
    <w:rsid w:val="00F34A5F"/>
    <w:rsid w:val="00F357CB"/>
    <w:rsid w:val="00F361D2"/>
    <w:rsid w:val="00F43004"/>
    <w:rsid w:val="00F45169"/>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6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1181188">
      <w:bodyDiv w:val="1"/>
      <w:marLeft w:val="0"/>
      <w:marRight w:val="0"/>
      <w:marTop w:val="0"/>
      <w:marBottom w:val="0"/>
      <w:divBdr>
        <w:top w:val="none" w:sz="0" w:space="0" w:color="auto"/>
        <w:left w:val="none" w:sz="0" w:space="0" w:color="auto"/>
        <w:bottom w:val="none" w:sz="0" w:space="0" w:color="auto"/>
        <w:right w:val="none" w:sz="0" w:space="0" w:color="auto"/>
      </w:divBdr>
      <w:divsChild>
        <w:div w:id="1788311492">
          <w:marLeft w:val="0"/>
          <w:marRight w:val="0"/>
          <w:marTop w:val="0"/>
          <w:marBottom w:val="0"/>
          <w:divBdr>
            <w:top w:val="none" w:sz="0" w:space="0" w:color="auto"/>
            <w:left w:val="none" w:sz="0" w:space="0" w:color="auto"/>
            <w:bottom w:val="none" w:sz="0" w:space="0" w:color="auto"/>
            <w:right w:val="none" w:sz="0" w:space="0" w:color="auto"/>
          </w:divBdr>
          <w:divsChild>
            <w:div w:id="197931184">
              <w:marLeft w:val="0"/>
              <w:marRight w:val="0"/>
              <w:marTop w:val="0"/>
              <w:marBottom w:val="0"/>
              <w:divBdr>
                <w:top w:val="none" w:sz="0" w:space="0" w:color="auto"/>
                <w:left w:val="none" w:sz="0" w:space="0" w:color="auto"/>
                <w:bottom w:val="none" w:sz="0" w:space="0" w:color="auto"/>
                <w:right w:val="none" w:sz="0" w:space="0" w:color="auto"/>
              </w:divBdr>
            </w:div>
            <w:div w:id="1898279696">
              <w:marLeft w:val="0"/>
              <w:marRight w:val="0"/>
              <w:marTop w:val="0"/>
              <w:marBottom w:val="0"/>
              <w:divBdr>
                <w:top w:val="none" w:sz="0" w:space="0" w:color="auto"/>
                <w:left w:val="none" w:sz="0" w:space="0" w:color="auto"/>
                <w:bottom w:val="none" w:sz="0" w:space="0" w:color="auto"/>
                <w:right w:val="none" w:sz="0" w:space="0" w:color="auto"/>
              </w:divBdr>
            </w:div>
            <w:div w:id="1179351435">
              <w:marLeft w:val="0"/>
              <w:marRight w:val="0"/>
              <w:marTop w:val="0"/>
              <w:marBottom w:val="0"/>
              <w:divBdr>
                <w:top w:val="none" w:sz="0" w:space="0" w:color="auto"/>
                <w:left w:val="none" w:sz="0" w:space="0" w:color="auto"/>
                <w:bottom w:val="none" w:sz="0" w:space="0" w:color="auto"/>
                <w:right w:val="none" w:sz="0" w:space="0" w:color="auto"/>
              </w:divBdr>
            </w:div>
          </w:divsChild>
        </w:div>
        <w:div w:id="185754976">
          <w:marLeft w:val="0"/>
          <w:marRight w:val="0"/>
          <w:marTop w:val="0"/>
          <w:marBottom w:val="0"/>
          <w:divBdr>
            <w:top w:val="none" w:sz="0" w:space="0" w:color="auto"/>
            <w:left w:val="none" w:sz="0" w:space="0" w:color="auto"/>
            <w:bottom w:val="none" w:sz="0" w:space="0" w:color="auto"/>
            <w:right w:val="none" w:sz="0" w:space="0" w:color="auto"/>
          </w:divBdr>
          <w:divsChild>
            <w:div w:id="906650679">
              <w:marLeft w:val="0"/>
              <w:marRight w:val="0"/>
              <w:marTop w:val="0"/>
              <w:marBottom w:val="0"/>
              <w:divBdr>
                <w:top w:val="none" w:sz="0" w:space="0" w:color="auto"/>
                <w:left w:val="none" w:sz="0" w:space="0" w:color="auto"/>
                <w:bottom w:val="none" w:sz="0" w:space="0" w:color="auto"/>
                <w:right w:val="none" w:sz="0" w:space="0" w:color="auto"/>
              </w:divBdr>
            </w:div>
            <w:div w:id="661541143">
              <w:marLeft w:val="0"/>
              <w:marRight w:val="0"/>
              <w:marTop w:val="0"/>
              <w:marBottom w:val="0"/>
              <w:divBdr>
                <w:top w:val="none" w:sz="0" w:space="0" w:color="auto"/>
                <w:left w:val="none" w:sz="0" w:space="0" w:color="auto"/>
                <w:bottom w:val="none" w:sz="0" w:space="0" w:color="auto"/>
                <w:right w:val="none" w:sz="0" w:space="0" w:color="auto"/>
              </w:divBdr>
              <w:divsChild>
                <w:div w:id="1815367036">
                  <w:marLeft w:val="0"/>
                  <w:marRight w:val="0"/>
                  <w:marTop w:val="0"/>
                  <w:marBottom w:val="0"/>
                  <w:divBdr>
                    <w:top w:val="none" w:sz="0" w:space="0" w:color="auto"/>
                    <w:left w:val="none" w:sz="0" w:space="0" w:color="auto"/>
                    <w:bottom w:val="none" w:sz="0" w:space="0" w:color="auto"/>
                    <w:right w:val="none" w:sz="0" w:space="0" w:color="auto"/>
                  </w:divBdr>
                  <w:divsChild>
                    <w:div w:id="1997032506">
                      <w:marLeft w:val="0"/>
                      <w:marRight w:val="0"/>
                      <w:marTop w:val="0"/>
                      <w:marBottom w:val="0"/>
                      <w:divBdr>
                        <w:top w:val="none" w:sz="0" w:space="0" w:color="auto"/>
                        <w:left w:val="none" w:sz="0" w:space="0" w:color="auto"/>
                        <w:bottom w:val="none" w:sz="0" w:space="0" w:color="auto"/>
                        <w:right w:val="none" w:sz="0" w:space="0" w:color="auto"/>
                      </w:divBdr>
                      <w:divsChild>
                        <w:div w:id="983852882">
                          <w:marLeft w:val="0"/>
                          <w:marRight w:val="0"/>
                          <w:marTop w:val="0"/>
                          <w:marBottom w:val="0"/>
                          <w:divBdr>
                            <w:top w:val="none" w:sz="0" w:space="0" w:color="auto"/>
                            <w:left w:val="none" w:sz="0" w:space="0" w:color="auto"/>
                            <w:bottom w:val="none" w:sz="0" w:space="0" w:color="auto"/>
                            <w:right w:val="none" w:sz="0" w:space="0" w:color="auto"/>
                          </w:divBdr>
                        </w:div>
                        <w:div w:id="1744454056">
                          <w:marLeft w:val="0"/>
                          <w:marRight w:val="0"/>
                          <w:marTop w:val="0"/>
                          <w:marBottom w:val="0"/>
                          <w:divBdr>
                            <w:top w:val="none" w:sz="0" w:space="0" w:color="auto"/>
                            <w:left w:val="none" w:sz="0" w:space="0" w:color="auto"/>
                            <w:bottom w:val="none" w:sz="0" w:space="0" w:color="auto"/>
                            <w:right w:val="none" w:sz="0" w:space="0" w:color="auto"/>
                          </w:divBdr>
                        </w:div>
                      </w:divsChild>
                    </w:div>
                    <w:div w:id="1173574041">
                      <w:marLeft w:val="0"/>
                      <w:marRight w:val="0"/>
                      <w:marTop w:val="0"/>
                      <w:marBottom w:val="0"/>
                      <w:divBdr>
                        <w:top w:val="none" w:sz="0" w:space="0" w:color="auto"/>
                        <w:left w:val="none" w:sz="0" w:space="0" w:color="auto"/>
                        <w:bottom w:val="none" w:sz="0" w:space="0" w:color="auto"/>
                        <w:right w:val="none" w:sz="0" w:space="0" w:color="auto"/>
                      </w:divBdr>
                      <w:divsChild>
                        <w:div w:id="19159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31788">
          <w:marLeft w:val="0"/>
          <w:marRight w:val="0"/>
          <w:marTop w:val="0"/>
          <w:marBottom w:val="0"/>
          <w:divBdr>
            <w:top w:val="none" w:sz="0" w:space="0" w:color="auto"/>
            <w:left w:val="none" w:sz="0" w:space="0" w:color="auto"/>
            <w:bottom w:val="none" w:sz="0" w:space="0" w:color="auto"/>
            <w:right w:val="none" w:sz="0" w:space="0" w:color="auto"/>
          </w:divBdr>
        </w:div>
        <w:div w:id="923875033">
          <w:marLeft w:val="0"/>
          <w:marRight w:val="0"/>
          <w:marTop w:val="0"/>
          <w:marBottom w:val="0"/>
          <w:divBdr>
            <w:top w:val="none" w:sz="0" w:space="0" w:color="auto"/>
            <w:left w:val="none" w:sz="0" w:space="0" w:color="auto"/>
            <w:bottom w:val="none" w:sz="0" w:space="0" w:color="auto"/>
            <w:right w:val="none" w:sz="0" w:space="0" w:color="auto"/>
          </w:divBdr>
        </w:div>
        <w:div w:id="1092317555">
          <w:marLeft w:val="0"/>
          <w:marRight w:val="0"/>
          <w:marTop w:val="0"/>
          <w:marBottom w:val="0"/>
          <w:divBdr>
            <w:top w:val="none" w:sz="0" w:space="0" w:color="auto"/>
            <w:left w:val="none" w:sz="0" w:space="0" w:color="auto"/>
            <w:bottom w:val="none" w:sz="0" w:space="0" w:color="auto"/>
            <w:right w:val="none" w:sz="0" w:space="0" w:color="auto"/>
          </w:divBdr>
        </w:div>
        <w:div w:id="177544167">
          <w:marLeft w:val="0"/>
          <w:marRight w:val="0"/>
          <w:marTop w:val="0"/>
          <w:marBottom w:val="0"/>
          <w:divBdr>
            <w:top w:val="none" w:sz="0" w:space="0" w:color="auto"/>
            <w:left w:val="none" w:sz="0" w:space="0" w:color="auto"/>
            <w:bottom w:val="none" w:sz="0" w:space="0" w:color="auto"/>
            <w:right w:val="none" w:sz="0" w:space="0" w:color="auto"/>
          </w:divBdr>
          <w:divsChild>
            <w:div w:id="1990479074">
              <w:marLeft w:val="0"/>
              <w:marRight w:val="0"/>
              <w:marTop w:val="0"/>
              <w:marBottom w:val="0"/>
              <w:divBdr>
                <w:top w:val="none" w:sz="0" w:space="0" w:color="auto"/>
                <w:left w:val="none" w:sz="0" w:space="0" w:color="auto"/>
                <w:bottom w:val="none" w:sz="0" w:space="0" w:color="auto"/>
                <w:right w:val="none" w:sz="0" w:space="0" w:color="auto"/>
              </w:divBdr>
            </w:div>
            <w:div w:id="153534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697389094">
      <w:bodyDiv w:val="1"/>
      <w:marLeft w:val="0"/>
      <w:marRight w:val="0"/>
      <w:marTop w:val="0"/>
      <w:marBottom w:val="0"/>
      <w:divBdr>
        <w:top w:val="none" w:sz="0" w:space="0" w:color="auto"/>
        <w:left w:val="none" w:sz="0" w:space="0" w:color="auto"/>
        <w:bottom w:val="none" w:sz="0" w:space="0" w:color="auto"/>
        <w:right w:val="none" w:sz="0" w:space="0" w:color="auto"/>
      </w:divBdr>
      <w:divsChild>
        <w:div w:id="699166859">
          <w:marLeft w:val="0"/>
          <w:marRight w:val="0"/>
          <w:marTop w:val="0"/>
          <w:marBottom w:val="0"/>
          <w:divBdr>
            <w:top w:val="none" w:sz="0" w:space="0" w:color="auto"/>
            <w:left w:val="none" w:sz="0" w:space="0" w:color="auto"/>
            <w:bottom w:val="none" w:sz="0" w:space="0" w:color="auto"/>
            <w:right w:val="none" w:sz="0" w:space="0" w:color="auto"/>
          </w:divBdr>
          <w:divsChild>
            <w:div w:id="362832133">
              <w:marLeft w:val="0"/>
              <w:marRight w:val="0"/>
              <w:marTop w:val="0"/>
              <w:marBottom w:val="0"/>
              <w:divBdr>
                <w:top w:val="none" w:sz="0" w:space="0" w:color="auto"/>
                <w:left w:val="none" w:sz="0" w:space="0" w:color="auto"/>
                <w:bottom w:val="none" w:sz="0" w:space="0" w:color="auto"/>
                <w:right w:val="none" w:sz="0" w:space="0" w:color="auto"/>
              </w:divBdr>
              <w:divsChild>
                <w:div w:id="561479025">
                  <w:marLeft w:val="0"/>
                  <w:marRight w:val="0"/>
                  <w:marTop w:val="0"/>
                  <w:marBottom w:val="0"/>
                  <w:divBdr>
                    <w:top w:val="none" w:sz="0" w:space="0" w:color="auto"/>
                    <w:left w:val="none" w:sz="0" w:space="0" w:color="auto"/>
                    <w:bottom w:val="none" w:sz="0" w:space="0" w:color="auto"/>
                    <w:right w:val="none" w:sz="0" w:space="0" w:color="auto"/>
                  </w:divBdr>
                  <w:divsChild>
                    <w:div w:id="1775856538">
                      <w:marLeft w:val="0"/>
                      <w:marRight w:val="0"/>
                      <w:marTop w:val="0"/>
                      <w:marBottom w:val="0"/>
                      <w:divBdr>
                        <w:top w:val="none" w:sz="0" w:space="0" w:color="auto"/>
                        <w:left w:val="none" w:sz="0" w:space="0" w:color="auto"/>
                        <w:bottom w:val="none" w:sz="0" w:space="0" w:color="auto"/>
                        <w:right w:val="none" w:sz="0" w:space="0" w:color="auto"/>
                      </w:divBdr>
                      <w:divsChild>
                        <w:div w:id="884293889">
                          <w:marLeft w:val="0"/>
                          <w:marRight w:val="0"/>
                          <w:marTop w:val="0"/>
                          <w:marBottom w:val="0"/>
                          <w:divBdr>
                            <w:top w:val="none" w:sz="0" w:space="0" w:color="auto"/>
                            <w:left w:val="none" w:sz="0" w:space="0" w:color="auto"/>
                            <w:bottom w:val="none" w:sz="0" w:space="0" w:color="auto"/>
                            <w:right w:val="none" w:sz="0" w:space="0" w:color="auto"/>
                          </w:divBdr>
                          <w:divsChild>
                            <w:div w:id="2350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8198">
      <w:bodyDiv w:val="1"/>
      <w:marLeft w:val="0"/>
      <w:marRight w:val="0"/>
      <w:marTop w:val="0"/>
      <w:marBottom w:val="0"/>
      <w:divBdr>
        <w:top w:val="none" w:sz="0" w:space="0" w:color="auto"/>
        <w:left w:val="none" w:sz="0" w:space="0" w:color="auto"/>
        <w:bottom w:val="none" w:sz="0" w:space="0" w:color="auto"/>
        <w:right w:val="none" w:sz="0" w:space="0" w:color="auto"/>
      </w:divBdr>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505596">
      <w:bodyDiv w:val="1"/>
      <w:marLeft w:val="0"/>
      <w:marRight w:val="0"/>
      <w:marTop w:val="0"/>
      <w:marBottom w:val="0"/>
      <w:divBdr>
        <w:top w:val="none" w:sz="0" w:space="0" w:color="auto"/>
        <w:left w:val="none" w:sz="0" w:space="0" w:color="auto"/>
        <w:bottom w:val="none" w:sz="0" w:space="0" w:color="auto"/>
        <w:right w:val="none" w:sz="0" w:space="0" w:color="auto"/>
      </w:divBdr>
      <w:divsChild>
        <w:div w:id="1090737013">
          <w:marLeft w:val="0"/>
          <w:marRight w:val="0"/>
          <w:marTop w:val="0"/>
          <w:marBottom w:val="0"/>
          <w:divBdr>
            <w:top w:val="none" w:sz="0" w:space="0" w:color="auto"/>
            <w:left w:val="none" w:sz="0" w:space="0" w:color="auto"/>
            <w:bottom w:val="none" w:sz="0" w:space="0" w:color="auto"/>
            <w:right w:val="none" w:sz="0" w:space="0" w:color="auto"/>
          </w:divBdr>
          <w:divsChild>
            <w:div w:id="1626934625">
              <w:marLeft w:val="0"/>
              <w:marRight w:val="0"/>
              <w:marTop w:val="0"/>
              <w:marBottom w:val="0"/>
              <w:divBdr>
                <w:top w:val="none" w:sz="0" w:space="0" w:color="auto"/>
                <w:left w:val="none" w:sz="0" w:space="0" w:color="auto"/>
                <w:bottom w:val="none" w:sz="0" w:space="0" w:color="auto"/>
                <w:right w:val="none" w:sz="0" w:space="0" w:color="auto"/>
              </w:divBdr>
              <w:divsChild>
                <w:div w:id="167059187">
                  <w:marLeft w:val="0"/>
                  <w:marRight w:val="0"/>
                  <w:marTop w:val="0"/>
                  <w:marBottom w:val="0"/>
                  <w:divBdr>
                    <w:top w:val="none" w:sz="0" w:space="0" w:color="auto"/>
                    <w:left w:val="none" w:sz="0" w:space="0" w:color="auto"/>
                    <w:bottom w:val="none" w:sz="0" w:space="0" w:color="auto"/>
                    <w:right w:val="none" w:sz="0" w:space="0" w:color="auto"/>
                  </w:divBdr>
                  <w:divsChild>
                    <w:div w:id="1903245897">
                      <w:marLeft w:val="0"/>
                      <w:marRight w:val="0"/>
                      <w:marTop w:val="0"/>
                      <w:marBottom w:val="0"/>
                      <w:divBdr>
                        <w:top w:val="none" w:sz="0" w:space="0" w:color="auto"/>
                        <w:left w:val="none" w:sz="0" w:space="0" w:color="auto"/>
                        <w:bottom w:val="none" w:sz="0" w:space="0" w:color="auto"/>
                        <w:right w:val="none" w:sz="0" w:space="0" w:color="auto"/>
                      </w:divBdr>
                      <w:divsChild>
                        <w:div w:id="811287806">
                          <w:marLeft w:val="0"/>
                          <w:marRight w:val="0"/>
                          <w:marTop w:val="0"/>
                          <w:marBottom w:val="0"/>
                          <w:divBdr>
                            <w:top w:val="none" w:sz="0" w:space="0" w:color="auto"/>
                            <w:left w:val="none" w:sz="0" w:space="0" w:color="auto"/>
                            <w:bottom w:val="none" w:sz="0" w:space="0" w:color="auto"/>
                            <w:right w:val="none" w:sz="0" w:space="0" w:color="auto"/>
                          </w:divBdr>
                          <w:divsChild>
                            <w:div w:id="9826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712427">
      <w:bodyDiv w:val="1"/>
      <w:marLeft w:val="0"/>
      <w:marRight w:val="0"/>
      <w:marTop w:val="0"/>
      <w:marBottom w:val="0"/>
      <w:divBdr>
        <w:top w:val="none" w:sz="0" w:space="0" w:color="auto"/>
        <w:left w:val="none" w:sz="0" w:space="0" w:color="auto"/>
        <w:bottom w:val="none" w:sz="0" w:space="0" w:color="auto"/>
        <w:right w:val="none" w:sz="0" w:space="0" w:color="auto"/>
      </w:divBdr>
      <w:divsChild>
        <w:div w:id="1248156096">
          <w:marLeft w:val="0"/>
          <w:marRight w:val="0"/>
          <w:marTop w:val="0"/>
          <w:marBottom w:val="0"/>
          <w:divBdr>
            <w:top w:val="none" w:sz="0" w:space="0" w:color="auto"/>
            <w:left w:val="none" w:sz="0" w:space="0" w:color="auto"/>
            <w:bottom w:val="none" w:sz="0" w:space="0" w:color="auto"/>
            <w:right w:val="none" w:sz="0" w:space="0" w:color="auto"/>
          </w:divBdr>
          <w:divsChild>
            <w:div w:id="1700545780">
              <w:marLeft w:val="0"/>
              <w:marRight w:val="0"/>
              <w:marTop w:val="0"/>
              <w:marBottom w:val="0"/>
              <w:divBdr>
                <w:top w:val="none" w:sz="0" w:space="0" w:color="auto"/>
                <w:left w:val="none" w:sz="0" w:space="0" w:color="auto"/>
                <w:bottom w:val="none" w:sz="0" w:space="0" w:color="auto"/>
                <w:right w:val="none" w:sz="0" w:space="0" w:color="auto"/>
              </w:divBdr>
            </w:div>
            <w:div w:id="1729063245">
              <w:marLeft w:val="0"/>
              <w:marRight w:val="0"/>
              <w:marTop w:val="0"/>
              <w:marBottom w:val="0"/>
              <w:divBdr>
                <w:top w:val="none" w:sz="0" w:space="0" w:color="auto"/>
                <w:left w:val="none" w:sz="0" w:space="0" w:color="auto"/>
                <w:bottom w:val="none" w:sz="0" w:space="0" w:color="auto"/>
                <w:right w:val="none" w:sz="0" w:space="0" w:color="auto"/>
              </w:divBdr>
            </w:div>
            <w:div w:id="1257977088">
              <w:marLeft w:val="0"/>
              <w:marRight w:val="0"/>
              <w:marTop w:val="0"/>
              <w:marBottom w:val="0"/>
              <w:divBdr>
                <w:top w:val="none" w:sz="0" w:space="0" w:color="auto"/>
                <w:left w:val="none" w:sz="0" w:space="0" w:color="auto"/>
                <w:bottom w:val="none" w:sz="0" w:space="0" w:color="auto"/>
                <w:right w:val="none" w:sz="0" w:space="0" w:color="auto"/>
              </w:divBdr>
            </w:div>
          </w:divsChild>
        </w:div>
        <w:div w:id="1188300201">
          <w:marLeft w:val="0"/>
          <w:marRight w:val="0"/>
          <w:marTop w:val="0"/>
          <w:marBottom w:val="0"/>
          <w:divBdr>
            <w:top w:val="none" w:sz="0" w:space="0" w:color="auto"/>
            <w:left w:val="none" w:sz="0" w:space="0" w:color="auto"/>
            <w:bottom w:val="none" w:sz="0" w:space="0" w:color="auto"/>
            <w:right w:val="none" w:sz="0" w:space="0" w:color="auto"/>
          </w:divBdr>
          <w:divsChild>
            <w:div w:id="1064714489">
              <w:marLeft w:val="0"/>
              <w:marRight w:val="0"/>
              <w:marTop w:val="0"/>
              <w:marBottom w:val="0"/>
              <w:divBdr>
                <w:top w:val="none" w:sz="0" w:space="0" w:color="auto"/>
                <w:left w:val="none" w:sz="0" w:space="0" w:color="auto"/>
                <w:bottom w:val="none" w:sz="0" w:space="0" w:color="auto"/>
                <w:right w:val="none" w:sz="0" w:space="0" w:color="auto"/>
              </w:divBdr>
            </w:div>
            <w:div w:id="1010523014">
              <w:marLeft w:val="0"/>
              <w:marRight w:val="0"/>
              <w:marTop w:val="0"/>
              <w:marBottom w:val="0"/>
              <w:divBdr>
                <w:top w:val="none" w:sz="0" w:space="0" w:color="auto"/>
                <w:left w:val="none" w:sz="0" w:space="0" w:color="auto"/>
                <w:bottom w:val="none" w:sz="0" w:space="0" w:color="auto"/>
                <w:right w:val="none" w:sz="0" w:space="0" w:color="auto"/>
              </w:divBdr>
              <w:divsChild>
                <w:div w:id="760444918">
                  <w:marLeft w:val="0"/>
                  <w:marRight w:val="0"/>
                  <w:marTop w:val="0"/>
                  <w:marBottom w:val="0"/>
                  <w:divBdr>
                    <w:top w:val="none" w:sz="0" w:space="0" w:color="auto"/>
                    <w:left w:val="none" w:sz="0" w:space="0" w:color="auto"/>
                    <w:bottom w:val="none" w:sz="0" w:space="0" w:color="auto"/>
                    <w:right w:val="none" w:sz="0" w:space="0" w:color="auto"/>
                  </w:divBdr>
                  <w:divsChild>
                    <w:div w:id="335957398">
                      <w:marLeft w:val="0"/>
                      <w:marRight w:val="0"/>
                      <w:marTop w:val="0"/>
                      <w:marBottom w:val="0"/>
                      <w:divBdr>
                        <w:top w:val="none" w:sz="0" w:space="0" w:color="auto"/>
                        <w:left w:val="none" w:sz="0" w:space="0" w:color="auto"/>
                        <w:bottom w:val="none" w:sz="0" w:space="0" w:color="auto"/>
                        <w:right w:val="none" w:sz="0" w:space="0" w:color="auto"/>
                      </w:divBdr>
                      <w:divsChild>
                        <w:div w:id="616760798">
                          <w:marLeft w:val="0"/>
                          <w:marRight w:val="0"/>
                          <w:marTop w:val="0"/>
                          <w:marBottom w:val="0"/>
                          <w:divBdr>
                            <w:top w:val="none" w:sz="0" w:space="0" w:color="auto"/>
                            <w:left w:val="none" w:sz="0" w:space="0" w:color="auto"/>
                            <w:bottom w:val="none" w:sz="0" w:space="0" w:color="auto"/>
                            <w:right w:val="none" w:sz="0" w:space="0" w:color="auto"/>
                          </w:divBdr>
                        </w:div>
                        <w:div w:id="371805453">
                          <w:marLeft w:val="0"/>
                          <w:marRight w:val="0"/>
                          <w:marTop w:val="0"/>
                          <w:marBottom w:val="0"/>
                          <w:divBdr>
                            <w:top w:val="none" w:sz="0" w:space="0" w:color="auto"/>
                            <w:left w:val="none" w:sz="0" w:space="0" w:color="auto"/>
                            <w:bottom w:val="none" w:sz="0" w:space="0" w:color="auto"/>
                            <w:right w:val="none" w:sz="0" w:space="0" w:color="auto"/>
                          </w:divBdr>
                        </w:div>
                      </w:divsChild>
                    </w:div>
                    <w:div w:id="1043288378">
                      <w:marLeft w:val="0"/>
                      <w:marRight w:val="0"/>
                      <w:marTop w:val="0"/>
                      <w:marBottom w:val="0"/>
                      <w:divBdr>
                        <w:top w:val="none" w:sz="0" w:space="0" w:color="auto"/>
                        <w:left w:val="none" w:sz="0" w:space="0" w:color="auto"/>
                        <w:bottom w:val="none" w:sz="0" w:space="0" w:color="auto"/>
                        <w:right w:val="none" w:sz="0" w:space="0" w:color="auto"/>
                      </w:divBdr>
                      <w:divsChild>
                        <w:div w:id="5083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47414">
          <w:marLeft w:val="0"/>
          <w:marRight w:val="0"/>
          <w:marTop w:val="0"/>
          <w:marBottom w:val="0"/>
          <w:divBdr>
            <w:top w:val="none" w:sz="0" w:space="0" w:color="auto"/>
            <w:left w:val="none" w:sz="0" w:space="0" w:color="auto"/>
            <w:bottom w:val="none" w:sz="0" w:space="0" w:color="auto"/>
            <w:right w:val="none" w:sz="0" w:space="0" w:color="auto"/>
          </w:divBdr>
        </w:div>
        <w:div w:id="1044258970">
          <w:marLeft w:val="0"/>
          <w:marRight w:val="0"/>
          <w:marTop w:val="0"/>
          <w:marBottom w:val="0"/>
          <w:divBdr>
            <w:top w:val="none" w:sz="0" w:space="0" w:color="auto"/>
            <w:left w:val="none" w:sz="0" w:space="0" w:color="auto"/>
            <w:bottom w:val="none" w:sz="0" w:space="0" w:color="auto"/>
            <w:right w:val="none" w:sz="0" w:space="0" w:color="auto"/>
          </w:divBdr>
        </w:div>
        <w:div w:id="1013528775">
          <w:marLeft w:val="0"/>
          <w:marRight w:val="0"/>
          <w:marTop w:val="0"/>
          <w:marBottom w:val="0"/>
          <w:divBdr>
            <w:top w:val="none" w:sz="0" w:space="0" w:color="auto"/>
            <w:left w:val="none" w:sz="0" w:space="0" w:color="auto"/>
            <w:bottom w:val="none" w:sz="0" w:space="0" w:color="auto"/>
            <w:right w:val="none" w:sz="0" w:space="0" w:color="auto"/>
          </w:divBdr>
        </w:div>
        <w:div w:id="758793226">
          <w:marLeft w:val="0"/>
          <w:marRight w:val="0"/>
          <w:marTop w:val="0"/>
          <w:marBottom w:val="0"/>
          <w:divBdr>
            <w:top w:val="none" w:sz="0" w:space="0" w:color="auto"/>
            <w:left w:val="none" w:sz="0" w:space="0" w:color="auto"/>
            <w:bottom w:val="none" w:sz="0" w:space="0" w:color="auto"/>
            <w:right w:val="none" w:sz="0" w:space="0" w:color="auto"/>
          </w:divBdr>
          <w:divsChild>
            <w:div w:id="1197230165">
              <w:marLeft w:val="0"/>
              <w:marRight w:val="0"/>
              <w:marTop w:val="0"/>
              <w:marBottom w:val="0"/>
              <w:divBdr>
                <w:top w:val="none" w:sz="0" w:space="0" w:color="auto"/>
                <w:left w:val="none" w:sz="0" w:space="0" w:color="auto"/>
                <w:bottom w:val="none" w:sz="0" w:space="0" w:color="auto"/>
                <w:right w:val="none" w:sz="0" w:space="0" w:color="auto"/>
              </w:divBdr>
            </w:div>
            <w:div w:id="9043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83985456">
      <w:bodyDiv w:val="1"/>
      <w:marLeft w:val="0"/>
      <w:marRight w:val="0"/>
      <w:marTop w:val="0"/>
      <w:marBottom w:val="0"/>
      <w:divBdr>
        <w:top w:val="none" w:sz="0" w:space="0" w:color="auto"/>
        <w:left w:val="none" w:sz="0" w:space="0" w:color="auto"/>
        <w:bottom w:val="none" w:sz="0" w:space="0" w:color="auto"/>
        <w:right w:val="none" w:sz="0" w:space="0" w:color="auto"/>
      </w:divBdr>
      <w:divsChild>
        <w:div w:id="1858154059">
          <w:marLeft w:val="0"/>
          <w:marRight w:val="0"/>
          <w:marTop w:val="0"/>
          <w:marBottom w:val="0"/>
          <w:divBdr>
            <w:top w:val="none" w:sz="0" w:space="0" w:color="auto"/>
            <w:left w:val="none" w:sz="0" w:space="0" w:color="auto"/>
            <w:bottom w:val="none" w:sz="0" w:space="0" w:color="auto"/>
            <w:right w:val="none" w:sz="0" w:space="0" w:color="auto"/>
          </w:divBdr>
          <w:divsChild>
            <w:div w:id="1727727196">
              <w:marLeft w:val="0"/>
              <w:marRight w:val="0"/>
              <w:marTop w:val="0"/>
              <w:marBottom w:val="0"/>
              <w:divBdr>
                <w:top w:val="none" w:sz="0" w:space="0" w:color="auto"/>
                <w:left w:val="none" w:sz="0" w:space="0" w:color="auto"/>
                <w:bottom w:val="none" w:sz="0" w:space="0" w:color="auto"/>
                <w:right w:val="none" w:sz="0" w:space="0" w:color="auto"/>
              </w:divBdr>
              <w:divsChild>
                <w:div w:id="42295172">
                  <w:marLeft w:val="0"/>
                  <w:marRight w:val="0"/>
                  <w:marTop w:val="0"/>
                  <w:marBottom w:val="0"/>
                  <w:divBdr>
                    <w:top w:val="none" w:sz="0" w:space="0" w:color="auto"/>
                    <w:left w:val="none" w:sz="0" w:space="0" w:color="auto"/>
                    <w:bottom w:val="none" w:sz="0" w:space="0" w:color="auto"/>
                    <w:right w:val="none" w:sz="0" w:space="0" w:color="auto"/>
                  </w:divBdr>
                  <w:divsChild>
                    <w:div w:id="647055855">
                      <w:marLeft w:val="0"/>
                      <w:marRight w:val="0"/>
                      <w:marTop w:val="0"/>
                      <w:marBottom w:val="0"/>
                      <w:divBdr>
                        <w:top w:val="none" w:sz="0" w:space="0" w:color="auto"/>
                        <w:left w:val="none" w:sz="0" w:space="0" w:color="auto"/>
                        <w:bottom w:val="none" w:sz="0" w:space="0" w:color="auto"/>
                        <w:right w:val="none" w:sz="0" w:space="0" w:color="auto"/>
                      </w:divBdr>
                      <w:divsChild>
                        <w:div w:id="216866862">
                          <w:marLeft w:val="0"/>
                          <w:marRight w:val="0"/>
                          <w:marTop w:val="0"/>
                          <w:marBottom w:val="0"/>
                          <w:divBdr>
                            <w:top w:val="none" w:sz="0" w:space="0" w:color="auto"/>
                            <w:left w:val="none" w:sz="0" w:space="0" w:color="auto"/>
                            <w:bottom w:val="none" w:sz="0" w:space="0" w:color="auto"/>
                            <w:right w:val="none" w:sz="0" w:space="0" w:color="auto"/>
                          </w:divBdr>
                          <w:divsChild>
                            <w:div w:id="172649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09CF3-2A03-4B1B-B71F-449DEEFBE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1977</Words>
  <Characters>10878</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12830</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2016-07-08T07:04:00Z</cp:lastPrinted>
  <dcterms:created xsi:type="dcterms:W3CDTF">2016-07-15T07:11:00Z</dcterms:created>
  <dcterms:modified xsi:type="dcterms:W3CDTF">2016-07-15T07:11:00Z</dcterms:modified>
</cp:coreProperties>
</file>