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AD0" w:rsidRPr="00133AD0" w:rsidRDefault="00133AD0" w:rsidP="00133AD0">
      <w:pPr>
        <w:spacing w:line="360" w:lineRule="auto"/>
        <w:jc w:val="both"/>
        <w:rPr>
          <w:rFonts w:ascii="Arial" w:hAnsi="Arial" w:cs="Arial"/>
        </w:rPr>
      </w:pPr>
      <w:r w:rsidRPr="00133AD0">
        <w:rPr>
          <w:rFonts w:ascii="Arial" w:hAnsi="Arial" w:cs="Arial"/>
          <w:b/>
        </w:rPr>
        <w:t>SERVIDUMBRES. Las servidumbres legales</w:t>
      </w:r>
      <w:r w:rsidRPr="00133AD0">
        <w:rPr>
          <w:rFonts w:ascii="Arial" w:hAnsi="Arial" w:cs="Arial"/>
        </w:rPr>
        <w:t xml:space="preserve">. Ya se ha censurado la confusión del Código Civil en esta materia (Sección Quinta, del Capítulo II, del Título VII, del Libro II -arts. 580 a 585 </w:t>
      </w:r>
      <w:proofErr w:type="spellStart"/>
      <w:r w:rsidRPr="00133AD0">
        <w:rPr>
          <w:rFonts w:ascii="Arial" w:hAnsi="Arial" w:cs="Arial"/>
        </w:rPr>
        <w:t>CCiv</w:t>
      </w:r>
      <w:proofErr w:type="spellEnd"/>
      <w:r w:rsidRPr="00133AD0">
        <w:rPr>
          <w:rFonts w:ascii="Arial" w:hAnsi="Arial" w:cs="Arial"/>
        </w:rPr>
        <w:t xml:space="preserve">-) en tanto que </w:t>
      </w:r>
      <w:r w:rsidRPr="00133AD0">
        <w:rPr>
          <w:rFonts w:ascii="Arial" w:hAnsi="Arial" w:cs="Arial"/>
          <w:bCs/>
        </w:rPr>
        <w:t>bajo denominación de servidumbres, regula unas limitaciones del dominio por razón de vecindad</w:t>
      </w:r>
      <w:r w:rsidRPr="00133AD0">
        <w:rPr>
          <w:rFonts w:ascii="Arial" w:hAnsi="Arial" w:cs="Arial"/>
        </w:rPr>
        <w:t xml:space="preserve">, siendo únicamente el art. 585 </w:t>
      </w:r>
      <w:proofErr w:type="spellStart"/>
      <w:r w:rsidRPr="00133AD0">
        <w:rPr>
          <w:rFonts w:ascii="Arial" w:hAnsi="Arial" w:cs="Arial"/>
        </w:rPr>
        <w:t>CCiv</w:t>
      </w:r>
      <w:proofErr w:type="spellEnd"/>
      <w:r w:rsidRPr="00133AD0">
        <w:rPr>
          <w:rFonts w:ascii="Arial" w:hAnsi="Arial" w:cs="Arial"/>
        </w:rPr>
        <w:t xml:space="preserve"> el que trata propiamente de servidumbre, precisamente como una derogación del régimen general de tales limitaciones. El precepto inaugural de dicha Sección (art. 580 </w:t>
      </w:r>
      <w:proofErr w:type="spellStart"/>
      <w:r w:rsidRPr="00133AD0">
        <w:rPr>
          <w:rFonts w:ascii="Arial" w:hAnsi="Arial" w:cs="Arial"/>
        </w:rPr>
        <w:t>CCiv</w:t>
      </w:r>
      <w:proofErr w:type="spellEnd"/>
      <w:r w:rsidRPr="00133AD0">
        <w:rPr>
          <w:rFonts w:ascii="Arial" w:hAnsi="Arial" w:cs="Arial"/>
        </w:rPr>
        <w:t xml:space="preserve">) se refiere claramente a la medianería (correspondiéndose perfectamente con los arts. 573.1 y 579 </w:t>
      </w:r>
      <w:proofErr w:type="spellStart"/>
      <w:r w:rsidRPr="00133AD0">
        <w:rPr>
          <w:rFonts w:ascii="Arial" w:hAnsi="Arial" w:cs="Arial"/>
        </w:rPr>
        <w:t>CCiv</w:t>
      </w:r>
      <w:proofErr w:type="spellEnd"/>
      <w:r w:rsidRPr="00133AD0">
        <w:rPr>
          <w:rFonts w:ascii="Arial" w:hAnsi="Arial" w:cs="Arial"/>
        </w:rPr>
        <w:t xml:space="preserve"> de la Sección Cuarta), si bien el sentido de esta </w:t>
      </w:r>
      <w:proofErr w:type="spellStart"/>
      <w:r w:rsidRPr="00133AD0">
        <w:rPr>
          <w:rFonts w:ascii="Arial" w:hAnsi="Arial" w:cs="Arial"/>
        </w:rPr>
        <w:t>asistematicidad</w:t>
      </w:r>
      <w:proofErr w:type="spellEnd"/>
      <w:r w:rsidRPr="00133AD0">
        <w:rPr>
          <w:rFonts w:ascii="Arial" w:hAnsi="Arial" w:cs="Arial"/>
        </w:rPr>
        <w:t xml:space="preserve"> procede de que tal precepto admite el pacto en contrario, que supone una genuina voluntad </w:t>
      </w:r>
      <w:proofErr w:type="spellStart"/>
      <w:r w:rsidRPr="00133AD0">
        <w:rPr>
          <w:rFonts w:ascii="Arial" w:hAnsi="Arial" w:cs="Arial"/>
        </w:rPr>
        <w:t>negocial</w:t>
      </w:r>
      <w:proofErr w:type="spellEnd"/>
      <w:r w:rsidRPr="00133AD0">
        <w:rPr>
          <w:rFonts w:ascii="Arial" w:hAnsi="Arial" w:cs="Arial"/>
        </w:rPr>
        <w:t xml:space="preserve"> de los demás propietarios, y no es un acto reglado, como en la medianería del art. 579 </w:t>
      </w:r>
      <w:proofErr w:type="spellStart"/>
      <w:r w:rsidRPr="00133AD0">
        <w:rPr>
          <w:rFonts w:ascii="Arial" w:hAnsi="Arial" w:cs="Arial"/>
        </w:rPr>
        <w:t>CCiv</w:t>
      </w:r>
      <w:proofErr w:type="spellEnd"/>
      <w:r w:rsidRPr="00133AD0">
        <w:rPr>
          <w:rFonts w:ascii="Arial" w:hAnsi="Arial" w:cs="Arial"/>
        </w:rPr>
        <w:t xml:space="preserve">. </w:t>
      </w:r>
    </w:p>
    <w:p w:rsidR="00133AD0" w:rsidRPr="00133AD0" w:rsidRDefault="00133AD0" w:rsidP="00133AD0">
      <w:pPr>
        <w:pStyle w:val="NormalWeb"/>
        <w:spacing w:line="360" w:lineRule="auto"/>
        <w:jc w:val="both"/>
        <w:rPr>
          <w:rFonts w:ascii="Arial" w:hAnsi="Arial" w:cs="Arial"/>
        </w:rPr>
      </w:pPr>
      <w:r w:rsidRPr="00133AD0">
        <w:rPr>
          <w:rFonts w:ascii="Arial" w:hAnsi="Arial" w:cs="Arial"/>
        </w:rPr>
        <w:t xml:space="preserve">El Derecho histórico castellano no regulaba de una manera precisa y detallada los derechos de luces y vistas, incidentalmente aludidos en la </w:t>
      </w:r>
      <w:r w:rsidRPr="00133AD0">
        <w:rPr>
          <w:rFonts w:ascii="Arial" w:hAnsi="Arial" w:cs="Arial"/>
          <w:bCs/>
        </w:rPr>
        <w:t xml:space="preserve">Ley 15, Título </w:t>
      </w:r>
      <w:proofErr w:type="spellStart"/>
      <w:r w:rsidRPr="00133AD0">
        <w:rPr>
          <w:rFonts w:ascii="Arial" w:hAnsi="Arial" w:cs="Arial"/>
          <w:bCs/>
        </w:rPr>
        <w:t>XXXI</w:t>
      </w:r>
      <w:proofErr w:type="spellEnd"/>
      <w:r w:rsidRPr="00133AD0">
        <w:rPr>
          <w:rFonts w:ascii="Arial" w:hAnsi="Arial" w:cs="Arial"/>
          <w:bCs/>
        </w:rPr>
        <w:t>, de la Partida III</w:t>
      </w:r>
      <w:r w:rsidRPr="00133AD0">
        <w:rPr>
          <w:rFonts w:ascii="Arial" w:hAnsi="Arial" w:cs="Arial"/>
        </w:rPr>
        <w:t>, aunque de los antecedentes del Derecho romano y de dicha legislación histórica se concluía, como una consecuencia del derecho que tenía todo propietario para hacer en su casa lo que quisiera, sin otros límites que los jurídicos y los morales -definición de la Ley 1, Título XXVIII, de la misma Partida III-, tampoco ponía traba alguna a la facultad de abrir huecos, para luces o vistas, en pared propia, sin que constituyeran, empero, derecho de servidumbre y, por consiguiente, no podían neutralizar el derecho que tenía otro colindante para disminuirlas o anularlas, edificando libremente o dando mayor elevación a construcciones existentes, ni toleraba que por la falta de ejercicio de ese derecho de edificar el tiempo que fuera, engendrase prescripción de servidumbre "</w:t>
      </w:r>
      <w:proofErr w:type="spellStart"/>
      <w:r w:rsidRPr="00133AD0">
        <w:rPr>
          <w:rFonts w:ascii="Arial" w:hAnsi="Arial" w:cs="Arial"/>
        </w:rPr>
        <w:t>ne</w:t>
      </w:r>
      <w:proofErr w:type="spellEnd"/>
      <w:r w:rsidRPr="00133AD0">
        <w:rPr>
          <w:rFonts w:ascii="Arial" w:hAnsi="Arial" w:cs="Arial"/>
        </w:rPr>
        <w:t xml:space="preserve"> </w:t>
      </w:r>
      <w:proofErr w:type="spellStart"/>
      <w:r w:rsidRPr="00133AD0">
        <w:rPr>
          <w:rFonts w:ascii="Arial" w:hAnsi="Arial" w:cs="Arial"/>
        </w:rPr>
        <w:t>luminibus</w:t>
      </w:r>
      <w:proofErr w:type="spellEnd"/>
      <w:r w:rsidRPr="00133AD0">
        <w:rPr>
          <w:rFonts w:ascii="Arial" w:hAnsi="Arial" w:cs="Arial"/>
        </w:rPr>
        <w:t xml:space="preserve"> </w:t>
      </w:r>
      <w:proofErr w:type="spellStart"/>
      <w:r w:rsidRPr="00133AD0">
        <w:rPr>
          <w:rFonts w:ascii="Arial" w:hAnsi="Arial" w:cs="Arial"/>
        </w:rPr>
        <w:t>officiatur</w:t>
      </w:r>
      <w:proofErr w:type="spellEnd"/>
      <w:r w:rsidRPr="00133AD0">
        <w:rPr>
          <w:rFonts w:ascii="Arial" w:hAnsi="Arial" w:cs="Arial"/>
        </w:rPr>
        <w:t xml:space="preserve">, </w:t>
      </w:r>
      <w:proofErr w:type="spellStart"/>
      <w:r w:rsidRPr="00133AD0">
        <w:rPr>
          <w:rFonts w:ascii="Arial" w:hAnsi="Arial" w:cs="Arial"/>
        </w:rPr>
        <w:t>altius</w:t>
      </w:r>
      <w:proofErr w:type="spellEnd"/>
      <w:r w:rsidRPr="00133AD0">
        <w:rPr>
          <w:rFonts w:ascii="Arial" w:hAnsi="Arial" w:cs="Arial"/>
        </w:rPr>
        <w:t xml:space="preserve"> </w:t>
      </w:r>
      <w:proofErr w:type="spellStart"/>
      <w:r w:rsidRPr="00133AD0">
        <w:rPr>
          <w:rFonts w:ascii="Arial" w:hAnsi="Arial" w:cs="Arial"/>
        </w:rPr>
        <w:t>tollendi</w:t>
      </w:r>
      <w:proofErr w:type="spellEnd"/>
      <w:r w:rsidRPr="00133AD0">
        <w:rPr>
          <w:rFonts w:ascii="Arial" w:hAnsi="Arial" w:cs="Arial"/>
        </w:rPr>
        <w:t xml:space="preserve"> </w:t>
      </w:r>
      <w:proofErr w:type="spellStart"/>
      <w:r w:rsidRPr="00133AD0">
        <w:rPr>
          <w:rFonts w:ascii="Arial" w:hAnsi="Arial" w:cs="Arial"/>
        </w:rPr>
        <w:t>aut</w:t>
      </w:r>
      <w:proofErr w:type="spellEnd"/>
      <w:r w:rsidRPr="00133AD0">
        <w:rPr>
          <w:rFonts w:ascii="Arial" w:hAnsi="Arial" w:cs="Arial"/>
        </w:rPr>
        <w:t xml:space="preserve"> </w:t>
      </w:r>
      <w:proofErr w:type="spellStart"/>
      <w:r w:rsidRPr="00133AD0">
        <w:rPr>
          <w:rFonts w:ascii="Arial" w:hAnsi="Arial" w:cs="Arial"/>
        </w:rPr>
        <w:t>ne</w:t>
      </w:r>
      <w:proofErr w:type="spellEnd"/>
      <w:r w:rsidRPr="00133AD0">
        <w:rPr>
          <w:rFonts w:ascii="Arial" w:hAnsi="Arial" w:cs="Arial"/>
        </w:rPr>
        <w:t xml:space="preserve"> </w:t>
      </w:r>
      <w:proofErr w:type="spellStart"/>
      <w:r w:rsidRPr="00133AD0">
        <w:rPr>
          <w:rFonts w:ascii="Arial" w:hAnsi="Arial" w:cs="Arial"/>
        </w:rPr>
        <w:t>prospectui</w:t>
      </w:r>
      <w:proofErr w:type="spellEnd"/>
      <w:r w:rsidRPr="00133AD0">
        <w:rPr>
          <w:rFonts w:ascii="Arial" w:hAnsi="Arial" w:cs="Arial"/>
        </w:rPr>
        <w:t xml:space="preserve"> </w:t>
      </w:r>
      <w:proofErr w:type="spellStart"/>
      <w:r w:rsidRPr="00133AD0">
        <w:rPr>
          <w:rFonts w:ascii="Arial" w:hAnsi="Arial" w:cs="Arial"/>
        </w:rPr>
        <w:t>officiatur</w:t>
      </w:r>
      <w:proofErr w:type="spellEnd"/>
      <w:r w:rsidRPr="00133AD0">
        <w:rPr>
          <w:rFonts w:ascii="Arial" w:hAnsi="Arial" w:cs="Arial"/>
        </w:rPr>
        <w:t xml:space="preserve">", en favor del otro propietario que tuviese abiertos los huecos de su pared -las servidumbres negativas no podían ser adquiridas por prescripción, sino computando ésta desde la ejecución de algún acto </w:t>
      </w:r>
      <w:proofErr w:type="spellStart"/>
      <w:r w:rsidRPr="00133AD0">
        <w:rPr>
          <w:rFonts w:ascii="Arial" w:hAnsi="Arial" w:cs="Arial"/>
        </w:rPr>
        <w:t>obstativo</w:t>
      </w:r>
      <w:proofErr w:type="spellEnd"/>
      <w:r w:rsidRPr="00133AD0">
        <w:rPr>
          <w:rFonts w:ascii="Arial" w:hAnsi="Arial" w:cs="Arial"/>
        </w:rPr>
        <w:t>- (</w:t>
      </w:r>
      <w:proofErr w:type="spellStart"/>
      <w:r w:rsidRPr="00133AD0">
        <w:rPr>
          <w:rFonts w:ascii="Arial" w:hAnsi="Arial" w:cs="Arial"/>
        </w:rPr>
        <w:t>SSAP</w:t>
      </w:r>
      <w:proofErr w:type="spellEnd"/>
      <w:r w:rsidRPr="00133AD0">
        <w:rPr>
          <w:rFonts w:ascii="Arial" w:hAnsi="Arial" w:cs="Arial"/>
        </w:rPr>
        <w:t xml:space="preserve"> Castellón -3.ª- de 8 de noviembre de 2007, </w:t>
      </w:r>
      <w:proofErr w:type="spellStart"/>
      <w:r w:rsidRPr="00133AD0">
        <w:rPr>
          <w:rFonts w:ascii="Arial" w:hAnsi="Arial" w:cs="Arial"/>
        </w:rPr>
        <w:t>rec</w:t>
      </w:r>
      <w:proofErr w:type="spellEnd"/>
      <w:r w:rsidRPr="00133AD0">
        <w:rPr>
          <w:rFonts w:ascii="Arial" w:hAnsi="Arial" w:cs="Arial"/>
        </w:rPr>
        <w:t xml:space="preserve">. 345/2007, Vizcaya -5.ª- </w:t>
      </w:r>
      <w:r w:rsidRPr="00133AD0">
        <w:rPr>
          <w:rFonts w:ascii="Arial" w:hAnsi="Arial" w:cs="Arial"/>
        </w:rPr>
        <w:lastRenderedPageBreak/>
        <w:t xml:space="preserve">de 15 de mayo de 2006, </w:t>
      </w:r>
      <w:proofErr w:type="spellStart"/>
      <w:r w:rsidRPr="00133AD0">
        <w:rPr>
          <w:rFonts w:ascii="Arial" w:hAnsi="Arial" w:cs="Arial"/>
        </w:rPr>
        <w:t>rec</w:t>
      </w:r>
      <w:proofErr w:type="spellEnd"/>
      <w:r w:rsidRPr="00133AD0">
        <w:rPr>
          <w:rFonts w:ascii="Arial" w:hAnsi="Arial" w:cs="Arial"/>
        </w:rPr>
        <w:t xml:space="preserve">. 165/2005, Málaga -6.ª- de 7 de septiembre de 2005, </w:t>
      </w:r>
      <w:proofErr w:type="spellStart"/>
      <w:r w:rsidRPr="00133AD0">
        <w:rPr>
          <w:rFonts w:ascii="Arial" w:hAnsi="Arial" w:cs="Arial"/>
        </w:rPr>
        <w:t>rec</w:t>
      </w:r>
      <w:proofErr w:type="spellEnd"/>
      <w:r w:rsidRPr="00133AD0">
        <w:rPr>
          <w:rFonts w:ascii="Arial" w:hAnsi="Arial" w:cs="Arial"/>
        </w:rPr>
        <w:t xml:space="preserve">. 482/2005, o Burgos -2.ª- de 18 de julio de 2005, </w:t>
      </w:r>
      <w:proofErr w:type="spellStart"/>
      <w:r w:rsidRPr="00133AD0">
        <w:rPr>
          <w:rFonts w:ascii="Arial" w:hAnsi="Arial" w:cs="Arial"/>
        </w:rPr>
        <w:t>rec</w:t>
      </w:r>
      <w:proofErr w:type="spellEnd"/>
      <w:r w:rsidRPr="00133AD0">
        <w:rPr>
          <w:rFonts w:ascii="Arial" w:hAnsi="Arial" w:cs="Arial"/>
        </w:rPr>
        <w:t xml:space="preserve">. 305/2005, y los precedentes jurisprudenciales que en ellas se citan). </w:t>
      </w:r>
    </w:p>
    <w:p w:rsidR="00133AD0" w:rsidRPr="00133AD0" w:rsidRDefault="00133AD0" w:rsidP="00133AD0">
      <w:pPr>
        <w:pStyle w:val="NormalWeb"/>
        <w:spacing w:line="360" w:lineRule="auto"/>
        <w:jc w:val="both"/>
        <w:rPr>
          <w:rFonts w:ascii="Arial" w:hAnsi="Arial" w:cs="Arial"/>
        </w:rPr>
      </w:pPr>
      <w:r w:rsidRPr="00133AD0">
        <w:rPr>
          <w:rFonts w:ascii="Arial" w:hAnsi="Arial" w:cs="Arial"/>
        </w:rPr>
        <w:t xml:space="preserve">El magro contenido de los arts. 530 a 533 del Proyecto de García </w:t>
      </w:r>
      <w:proofErr w:type="spellStart"/>
      <w:r w:rsidRPr="00133AD0">
        <w:rPr>
          <w:rFonts w:ascii="Arial" w:hAnsi="Arial" w:cs="Arial"/>
        </w:rPr>
        <w:t>Goyena</w:t>
      </w:r>
      <w:proofErr w:type="spellEnd"/>
      <w:r w:rsidRPr="00133AD0">
        <w:rPr>
          <w:rFonts w:ascii="Arial" w:hAnsi="Arial" w:cs="Arial"/>
        </w:rPr>
        <w:t xml:space="preserve"> de 1851, se completó hasta desembocar en los arts. 580 a 584 </w:t>
      </w:r>
      <w:proofErr w:type="spellStart"/>
      <w:r w:rsidRPr="00133AD0">
        <w:rPr>
          <w:rFonts w:ascii="Arial" w:hAnsi="Arial" w:cs="Arial"/>
        </w:rPr>
        <w:t>CCiv</w:t>
      </w:r>
      <w:proofErr w:type="spellEnd"/>
      <w:r w:rsidRPr="00133AD0">
        <w:rPr>
          <w:rFonts w:ascii="Arial" w:hAnsi="Arial" w:cs="Arial"/>
        </w:rPr>
        <w:t xml:space="preserve"> con las </w:t>
      </w:r>
      <w:proofErr w:type="spellStart"/>
      <w:r w:rsidRPr="00133AD0">
        <w:rPr>
          <w:rFonts w:ascii="Arial" w:hAnsi="Arial" w:cs="Arial"/>
        </w:rPr>
        <w:t>SSTS</w:t>
      </w:r>
      <w:proofErr w:type="spellEnd"/>
      <w:r w:rsidRPr="00133AD0">
        <w:rPr>
          <w:rFonts w:ascii="Arial" w:hAnsi="Arial" w:cs="Arial"/>
        </w:rPr>
        <w:t xml:space="preserve"> de 13 de mayo de 1882, 1 de mayo de 1884, o 13 de junio de 1887, entre otras de esta época en que se fraguaba la codificación (Sánchez Román), y con el Derecho comparado francés e italiano. </w:t>
      </w:r>
    </w:p>
    <w:p w:rsidR="00133AD0" w:rsidRPr="00133AD0" w:rsidRDefault="00133AD0" w:rsidP="00133AD0">
      <w:pPr>
        <w:pStyle w:val="NormalWeb"/>
        <w:spacing w:line="360" w:lineRule="auto"/>
        <w:jc w:val="both"/>
        <w:rPr>
          <w:rFonts w:ascii="Arial" w:hAnsi="Arial" w:cs="Arial"/>
        </w:rPr>
      </w:pPr>
      <w:r w:rsidRPr="00133AD0">
        <w:rPr>
          <w:rFonts w:ascii="Arial" w:hAnsi="Arial" w:cs="Arial"/>
        </w:rPr>
        <w:t xml:space="preserve">En cuanto a la caracterización de la institución: </w:t>
      </w:r>
    </w:p>
    <w:p w:rsidR="00133AD0" w:rsidRPr="00133AD0" w:rsidRDefault="00133AD0" w:rsidP="00133AD0">
      <w:pPr>
        <w:pStyle w:val="NormalWeb"/>
        <w:spacing w:line="360" w:lineRule="auto"/>
        <w:jc w:val="both"/>
        <w:rPr>
          <w:rFonts w:ascii="Arial" w:hAnsi="Arial" w:cs="Arial"/>
        </w:rPr>
      </w:pPr>
      <w:r w:rsidRPr="00133AD0">
        <w:rPr>
          <w:rFonts w:ascii="Arial" w:hAnsi="Arial" w:cs="Arial"/>
        </w:rPr>
        <w:t xml:space="preserve">• Una cosa es la servidumbre de </w:t>
      </w:r>
      <w:r w:rsidRPr="00133AD0">
        <w:rPr>
          <w:rFonts w:ascii="Arial" w:hAnsi="Arial" w:cs="Arial"/>
          <w:bCs/>
        </w:rPr>
        <w:t>luces ("</w:t>
      </w:r>
      <w:proofErr w:type="spellStart"/>
      <w:r w:rsidRPr="00133AD0">
        <w:rPr>
          <w:rFonts w:ascii="Arial" w:hAnsi="Arial" w:cs="Arial"/>
          <w:bCs/>
        </w:rPr>
        <w:t>ius</w:t>
      </w:r>
      <w:proofErr w:type="spellEnd"/>
      <w:r w:rsidRPr="00133AD0">
        <w:rPr>
          <w:rFonts w:ascii="Arial" w:hAnsi="Arial" w:cs="Arial"/>
          <w:bCs/>
        </w:rPr>
        <w:t xml:space="preserve"> </w:t>
      </w:r>
      <w:proofErr w:type="spellStart"/>
      <w:r w:rsidRPr="00133AD0">
        <w:rPr>
          <w:rFonts w:ascii="Arial" w:hAnsi="Arial" w:cs="Arial"/>
          <w:bCs/>
        </w:rPr>
        <w:t>luminum</w:t>
      </w:r>
      <w:proofErr w:type="spellEnd"/>
      <w:r w:rsidRPr="00133AD0">
        <w:rPr>
          <w:rFonts w:ascii="Arial" w:hAnsi="Arial" w:cs="Arial"/>
          <w:bCs/>
        </w:rPr>
        <w:t>")</w:t>
      </w:r>
      <w:r w:rsidRPr="00133AD0">
        <w:rPr>
          <w:rFonts w:ascii="Arial" w:hAnsi="Arial" w:cs="Arial"/>
        </w:rPr>
        <w:t xml:space="preserve">, referida a los huecos o ventanas hechos en una pared para iluminar un fundo, y otra la de </w:t>
      </w:r>
      <w:r w:rsidRPr="00133AD0">
        <w:rPr>
          <w:rFonts w:ascii="Arial" w:hAnsi="Arial" w:cs="Arial"/>
          <w:bCs/>
        </w:rPr>
        <w:t>vistas ("</w:t>
      </w:r>
      <w:proofErr w:type="spellStart"/>
      <w:r w:rsidRPr="00133AD0">
        <w:rPr>
          <w:rFonts w:ascii="Arial" w:hAnsi="Arial" w:cs="Arial"/>
          <w:bCs/>
        </w:rPr>
        <w:t>ius</w:t>
      </w:r>
      <w:proofErr w:type="spellEnd"/>
      <w:r w:rsidRPr="00133AD0">
        <w:rPr>
          <w:rFonts w:ascii="Arial" w:hAnsi="Arial" w:cs="Arial"/>
          <w:bCs/>
        </w:rPr>
        <w:t xml:space="preserve"> </w:t>
      </w:r>
      <w:proofErr w:type="spellStart"/>
      <w:r w:rsidRPr="00133AD0">
        <w:rPr>
          <w:rFonts w:ascii="Arial" w:hAnsi="Arial" w:cs="Arial"/>
          <w:bCs/>
        </w:rPr>
        <w:t>prospectus</w:t>
      </w:r>
      <w:proofErr w:type="spellEnd"/>
      <w:r w:rsidRPr="00133AD0">
        <w:rPr>
          <w:rFonts w:ascii="Arial" w:hAnsi="Arial" w:cs="Arial"/>
          <w:bCs/>
        </w:rPr>
        <w:t>")</w:t>
      </w:r>
      <w:r w:rsidRPr="00133AD0">
        <w:rPr>
          <w:rFonts w:ascii="Arial" w:hAnsi="Arial" w:cs="Arial"/>
        </w:rPr>
        <w:t xml:space="preserve">, relativa a los huecos desde los cuales una persona puede mirar hacia un fundo ajeno, siendo que esta segunda figura es naturalmente más amplia que la primera, puesto que el derecho de luces no implica tener vistas de cierta extensión, y el de vistas siempre incluye el contenido de una servidumbre de luces. </w:t>
      </w:r>
    </w:p>
    <w:p w:rsidR="00133AD0" w:rsidRPr="00133AD0" w:rsidRDefault="00133AD0" w:rsidP="00133AD0">
      <w:pPr>
        <w:pStyle w:val="NormalWeb"/>
        <w:spacing w:line="360" w:lineRule="auto"/>
        <w:jc w:val="both"/>
        <w:rPr>
          <w:rFonts w:ascii="Arial" w:hAnsi="Arial" w:cs="Arial"/>
        </w:rPr>
      </w:pPr>
      <w:r w:rsidRPr="00133AD0">
        <w:rPr>
          <w:rFonts w:ascii="Arial" w:hAnsi="Arial" w:cs="Arial"/>
        </w:rPr>
        <w:t xml:space="preserve">No hay, en realidad, una servidumbre legal de luces o vistas, sino que el Código </w:t>
      </w:r>
      <w:r w:rsidRPr="00133AD0">
        <w:rPr>
          <w:rFonts w:ascii="Arial" w:hAnsi="Arial" w:cs="Arial"/>
          <w:bCs/>
        </w:rPr>
        <w:t>limita el ejercicio del derecho de propiedad</w:t>
      </w:r>
      <w:r w:rsidRPr="00133AD0">
        <w:rPr>
          <w:rFonts w:ascii="Arial" w:hAnsi="Arial" w:cs="Arial"/>
        </w:rPr>
        <w:t xml:space="preserve">, en evitación de conflictos que surgirían usualmente entre propietarios, y de las invasiones indebidas en los fundos ajenos, con un sistema de sacrificio mutuo, a fin de armonizar el ejercicio de los derechos de todos, incompatibles si no se limitan. Ahora bien, como se ha apuntado, si ello pertenece a las limitaciones del dominio y el derecho de vecindad, la limitación del derecho del propietario de un fundo para tener luces y vistas sobre el predio vecino, según le convenga en el ejercicio de su derecho de propiedad, "sirviendo" a los demás, </w:t>
      </w:r>
      <w:r w:rsidRPr="00133AD0">
        <w:rPr>
          <w:rFonts w:ascii="Arial" w:hAnsi="Arial" w:cs="Arial"/>
          <w:bCs/>
        </w:rPr>
        <w:t>puede ser modificado por convenio de los particulares</w:t>
      </w:r>
      <w:r w:rsidRPr="00133AD0">
        <w:rPr>
          <w:rFonts w:ascii="Arial" w:hAnsi="Arial" w:cs="Arial"/>
        </w:rPr>
        <w:t xml:space="preserve"> (art. 551 </w:t>
      </w:r>
      <w:proofErr w:type="spellStart"/>
      <w:r w:rsidRPr="00133AD0">
        <w:rPr>
          <w:rFonts w:ascii="Arial" w:hAnsi="Arial" w:cs="Arial"/>
        </w:rPr>
        <w:t>CCiv</w:t>
      </w:r>
      <w:proofErr w:type="spellEnd"/>
      <w:r w:rsidRPr="00133AD0">
        <w:rPr>
          <w:rFonts w:ascii="Arial" w:hAnsi="Arial" w:cs="Arial"/>
        </w:rPr>
        <w:t xml:space="preserve">), con lo que se puede invertir la situación a la "dominancia" del fundo que, con el consentimiento de los vecinos, </w:t>
      </w:r>
      <w:r w:rsidRPr="00133AD0">
        <w:rPr>
          <w:rFonts w:ascii="Arial" w:hAnsi="Arial" w:cs="Arial"/>
        </w:rPr>
        <w:lastRenderedPageBreak/>
        <w:t xml:space="preserve">viese desaparecer esas limitaciones y distancias [al igual, entonces, que una servidumbre de vistas adquirida por título del art. 585 </w:t>
      </w:r>
      <w:proofErr w:type="spellStart"/>
      <w:r w:rsidRPr="00133AD0">
        <w:rPr>
          <w:rFonts w:ascii="Arial" w:hAnsi="Arial" w:cs="Arial"/>
        </w:rPr>
        <w:t>CCiv</w:t>
      </w:r>
      <w:proofErr w:type="spellEnd"/>
      <w:r w:rsidRPr="00133AD0">
        <w:rPr>
          <w:rFonts w:ascii="Arial" w:hAnsi="Arial" w:cs="Arial"/>
        </w:rPr>
        <w:t xml:space="preserve">]. </w:t>
      </w:r>
    </w:p>
    <w:p w:rsidR="00133AD0" w:rsidRPr="00133AD0" w:rsidRDefault="00133AD0" w:rsidP="00133AD0">
      <w:pPr>
        <w:pStyle w:val="NormalWeb"/>
        <w:spacing w:line="360" w:lineRule="auto"/>
        <w:jc w:val="both"/>
        <w:rPr>
          <w:rFonts w:ascii="Arial" w:hAnsi="Arial" w:cs="Arial"/>
        </w:rPr>
      </w:pPr>
      <w:r w:rsidRPr="00133AD0">
        <w:rPr>
          <w:rFonts w:ascii="Arial" w:hAnsi="Arial" w:cs="Arial"/>
        </w:rPr>
        <w:t xml:space="preserve">No se trata del hecho de recibir iluminación o de poder contemplar el fundo contiguo, sino del </w:t>
      </w:r>
      <w:r w:rsidRPr="00133AD0">
        <w:rPr>
          <w:rFonts w:ascii="Arial" w:hAnsi="Arial" w:cs="Arial"/>
          <w:bCs/>
        </w:rPr>
        <w:t>deber del dueño del predio sirviente de hacer algo que le sería lícito sin la servidumbre, como es tapar huecos, levantando pared en su terreno</w:t>
      </w:r>
      <w:r w:rsidRPr="00133AD0">
        <w:rPr>
          <w:rFonts w:ascii="Arial" w:hAnsi="Arial" w:cs="Arial"/>
        </w:rPr>
        <w:t xml:space="preserve">. O lo que es igual, el derecho de luces y vistas no se ejercita simplemente con recibir la luz y la vista por los huecos abiertos en pared propia, sino mediante el ejercicio de un poder jurídico consistente en </w:t>
      </w:r>
      <w:r w:rsidRPr="00133AD0">
        <w:rPr>
          <w:rFonts w:ascii="Arial" w:hAnsi="Arial" w:cs="Arial"/>
          <w:bCs/>
        </w:rPr>
        <w:t>la prohibición impuesta al titular del predio sirviente de hacer lo que le sería lícito sin la servidumbre</w:t>
      </w:r>
      <w:r w:rsidRPr="00133AD0">
        <w:rPr>
          <w:rFonts w:ascii="Arial" w:hAnsi="Arial" w:cs="Arial"/>
        </w:rPr>
        <w:t xml:space="preserve"> (por ello, abrir en pared propia huecos sobre la finca contigua es un hecho extrajurídico irrelevante, siendo la </w:t>
      </w:r>
      <w:proofErr w:type="spellStart"/>
      <w:r w:rsidRPr="00133AD0">
        <w:rPr>
          <w:rFonts w:ascii="Arial" w:hAnsi="Arial" w:cs="Arial"/>
        </w:rPr>
        <w:t>cuasiposesión</w:t>
      </w:r>
      <w:proofErr w:type="spellEnd"/>
      <w:r w:rsidRPr="00133AD0">
        <w:rPr>
          <w:rFonts w:ascii="Arial" w:hAnsi="Arial" w:cs="Arial"/>
        </w:rPr>
        <w:t xml:space="preserve"> de la servidumbre ese poder de prohibir al dueño del predio sirviente construir de manera que elimine o entorpezca el disfrute de luces y vistas). </w:t>
      </w:r>
    </w:p>
    <w:p w:rsidR="00133AD0" w:rsidRPr="00133AD0" w:rsidRDefault="00133AD0" w:rsidP="00133AD0">
      <w:pPr>
        <w:pStyle w:val="NormalWeb"/>
        <w:spacing w:line="360" w:lineRule="auto"/>
        <w:jc w:val="both"/>
        <w:rPr>
          <w:rFonts w:ascii="Arial" w:hAnsi="Arial" w:cs="Arial"/>
        </w:rPr>
      </w:pPr>
      <w:r w:rsidRPr="00133AD0">
        <w:rPr>
          <w:rFonts w:ascii="Arial" w:hAnsi="Arial" w:cs="Arial"/>
        </w:rPr>
        <w:t xml:space="preserve">Derivado de ello, por lo que toca al contenido de estas servidumbres, existen dos reglas fundamentales: </w:t>
      </w:r>
    </w:p>
    <w:p w:rsidR="00133AD0" w:rsidRPr="00133AD0" w:rsidRDefault="00133AD0" w:rsidP="00133AD0">
      <w:pPr>
        <w:spacing w:line="360" w:lineRule="auto"/>
        <w:ind w:left="720"/>
        <w:jc w:val="both"/>
        <w:rPr>
          <w:rFonts w:ascii="Arial" w:hAnsi="Arial" w:cs="Arial"/>
        </w:rPr>
      </w:pPr>
      <w:r w:rsidRPr="00133AD0">
        <w:rPr>
          <w:rFonts w:ascii="Arial" w:hAnsi="Arial" w:cs="Arial"/>
          <w:bCs/>
        </w:rPr>
        <w:t>-</w:t>
      </w:r>
      <w:r w:rsidRPr="00133AD0">
        <w:rPr>
          <w:rFonts w:ascii="Arial" w:hAnsi="Arial" w:cs="Arial"/>
        </w:rPr>
        <w:t xml:space="preserve"> No se puede abrir ventana ni hueco alguno sin el consentimiento del otro medianero (art. 580 </w:t>
      </w:r>
      <w:proofErr w:type="spellStart"/>
      <w:r w:rsidRPr="00133AD0">
        <w:rPr>
          <w:rFonts w:ascii="Arial" w:hAnsi="Arial" w:cs="Arial"/>
        </w:rPr>
        <w:t>CCiv</w:t>
      </w:r>
      <w:proofErr w:type="spellEnd"/>
      <w:r w:rsidRPr="00133AD0">
        <w:rPr>
          <w:rFonts w:ascii="Arial" w:hAnsi="Arial" w:cs="Arial"/>
        </w:rPr>
        <w:t xml:space="preserve">), de lo que se deduce que </w:t>
      </w:r>
      <w:r w:rsidRPr="00133AD0">
        <w:rPr>
          <w:rFonts w:ascii="Arial" w:hAnsi="Arial" w:cs="Arial"/>
          <w:bCs/>
        </w:rPr>
        <w:t>toda servidumbre de este tipo tiene que referirse a paredes o muros de propiedad exclusiva de alguna persona, nunca a las medianeras</w:t>
      </w:r>
      <w:r w:rsidRPr="00133AD0">
        <w:rPr>
          <w:rFonts w:ascii="Arial" w:hAnsi="Arial" w:cs="Arial"/>
        </w:rPr>
        <w:t xml:space="preserve">, y cuando la pared es en parte medianera y en parte no, la prohibición sólo se refiere a la primera, pero en ningún modo a la segunda. </w:t>
      </w:r>
    </w:p>
    <w:p w:rsidR="00133AD0" w:rsidRPr="00133AD0" w:rsidRDefault="00133AD0" w:rsidP="00133AD0">
      <w:pPr>
        <w:spacing w:line="360" w:lineRule="auto"/>
        <w:ind w:left="720"/>
        <w:jc w:val="both"/>
        <w:rPr>
          <w:rFonts w:ascii="Arial" w:hAnsi="Arial" w:cs="Arial"/>
        </w:rPr>
      </w:pPr>
      <w:r w:rsidRPr="00133AD0">
        <w:rPr>
          <w:rFonts w:ascii="Arial" w:hAnsi="Arial" w:cs="Arial"/>
          <w:bCs/>
        </w:rPr>
        <w:t>-</w:t>
      </w:r>
      <w:r w:rsidRPr="00133AD0">
        <w:rPr>
          <w:rFonts w:ascii="Arial" w:hAnsi="Arial" w:cs="Arial"/>
        </w:rPr>
        <w:t xml:space="preserve"> La regla general de la servidumbre, fundada en la presunción de libertad de los fundos, se aplica también a la de luces y vistas, de manera que la restricción sobre la propiedad ajena no puede establecerse sin el consentimiento de su titular, pero como es necesario fijar el límite hasta donde alcanza el derecho del propietario, para no imposibilitar al vecino el ejercicio del suyo, </w:t>
      </w:r>
      <w:r w:rsidRPr="00133AD0">
        <w:rPr>
          <w:rFonts w:ascii="Arial" w:hAnsi="Arial" w:cs="Arial"/>
          <w:bCs/>
        </w:rPr>
        <w:t xml:space="preserve">la ley determina la distancia </w:t>
      </w:r>
      <w:r w:rsidRPr="00133AD0">
        <w:rPr>
          <w:rFonts w:ascii="Arial" w:hAnsi="Arial" w:cs="Arial"/>
          <w:bCs/>
        </w:rPr>
        <w:lastRenderedPageBreak/>
        <w:t>que debe existir entre los predios cuando el dueño de alguno de ellos quiera abrir algún hueco en la pared propia</w:t>
      </w:r>
      <w:r w:rsidRPr="00133AD0">
        <w:rPr>
          <w:rFonts w:ascii="Arial" w:hAnsi="Arial" w:cs="Arial"/>
        </w:rPr>
        <w:t xml:space="preserve">, con la excepción de las llamadas "ventanas de ordenanza o de reglamento", que el dueño de una finca, sin el consentimiento del propietario vecino, en pared propia </w:t>
      </w:r>
      <w:r w:rsidRPr="00133AD0">
        <w:rPr>
          <w:rFonts w:ascii="Arial" w:hAnsi="Arial" w:cs="Arial"/>
          <w:iCs/>
        </w:rPr>
        <w:t>"puede abrir en ella ventanas o huecos, para recibir luces a la altura de las carreras, o inmediatos a los techos, y de las dimensiones de 30 centímetros en cuadro, y, en todo caso, con reja de hierro remetida en la pared y con red de alambre"</w:t>
      </w:r>
      <w:r w:rsidRPr="00133AD0">
        <w:rPr>
          <w:rFonts w:ascii="Arial" w:hAnsi="Arial" w:cs="Arial"/>
          <w:bCs/>
        </w:rPr>
        <w:t xml:space="preserve">(art. 581 párrafo 1.º </w:t>
      </w:r>
      <w:proofErr w:type="spellStart"/>
      <w:r w:rsidRPr="00133AD0">
        <w:rPr>
          <w:rFonts w:ascii="Arial" w:hAnsi="Arial" w:cs="Arial"/>
          <w:bCs/>
        </w:rPr>
        <w:t>CCiv</w:t>
      </w:r>
      <w:proofErr w:type="spellEnd"/>
      <w:r w:rsidRPr="00133AD0">
        <w:rPr>
          <w:rFonts w:ascii="Arial" w:hAnsi="Arial" w:cs="Arial"/>
          <w:bCs/>
        </w:rPr>
        <w:t>;</w:t>
      </w:r>
      <w:r w:rsidRPr="00133AD0">
        <w:rPr>
          <w:rFonts w:ascii="Arial" w:hAnsi="Arial" w:cs="Arial"/>
        </w:rPr>
        <w:t xml:space="preserve"> tomado del Derecho histórico catalán, contenido en las Ordenanzas de </w:t>
      </w:r>
      <w:proofErr w:type="spellStart"/>
      <w:r w:rsidRPr="00133AD0">
        <w:rPr>
          <w:rFonts w:ascii="Arial" w:hAnsi="Arial" w:cs="Arial"/>
        </w:rPr>
        <w:t>Santacilia</w:t>
      </w:r>
      <w:proofErr w:type="spellEnd"/>
      <w:r w:rsidRPr="00133AD0">
        <w:rPr>
          <w:rFonts w:ascii="Arial" w:hAnsi="Arial" w:cs="Arial"/>
        </w:rPr>
        <w:t xml:space="preserve"> y el Privilegio "</w:t>
      </w:r>
      <w:proofErr w:type="spellStart"/>
      <w:r w:rsidRPr="00133AD0">
        <w:rPr>
          <w:rFonts w:ascii="Arial" w:hAnsi="Arial" w:cs="Arial"/>
        </w:rPr>
        <w:t>Recognoverunt</w:t>
      </w:r>
      <w:proofErr w:type="spellEnd"/>
      <w:r w:rsidRPr="00133AD0">
        <w:rPr>
          <w:rFonts w:ascii="Arial" w:hAnsi="Arial" w:cs="Arial"/>
        </w:rPr>
        <w:t xml:space="preserve"> </w:t>
      </w:r>
      <w:proofErr w:type="spellStart"/>
      <w:r w:rsidRPr="00133AD0">
        <w:rPr>
          <w:rFonts w:ascii="Arial" w:hAnsi="Arial" w:cs="Arial"/>
        </w:rPr>
        <w:t>Proceres</w:t>
      </w:r>
      <w:proofErr w:type="spellEnd"/>
      <w:r w:rsidRPr="00133AD0">
        <w:rPr>
          <w:rFonts w:ascii="Arial" w:hAnsi="Arial" w:cs="Arial"/>
        </w:rPr>
        <w:t xml:space="preserve">"). </w:t>
      </w:r>
    </w:p>
    <w:p w:rsidR="00E9104D" w:rsidRPr="00133AD0" w:rsidRDefault="00E9104D" w:rsidP="00133AD0">
      <w:pPr>
        <w:pStyle w:val="NormalWeb"/>
        <w:spacing w:line="360" w:lineRule="auto"/>
        <w:jc w:val="both"/>
        <w:rPr>
          <w:rFonts w:ascii="Arial" w:hAnsi="Arial" w:cs="Arial"/>
        </w:rPr>
      </w:pPr>
    </w:p>
    <w:p w:rsidR="00EA5C44" w:rsidRPr="00133AD0" w:rsidRDefault="00EA5C44" w:rsidP="00133AD0">
      <w:pPr>
        <w:pStyle w:val="NormalWeb"/>
        <w:spacing w:line="360" w:lineRule="auto"/>
        <w:jc w:val="both"/>
        <w:rPr>
          <w:rFonts w:ascii="Arial" w:hAnsi="Arial" w:cs="Arial"/>
        </w:rPr>
      </w:pPr>
    </w:p>
    <w:p w:rsidR="00EA5C44" w:rsidRPr="00133AD0" w:rsidRDefault="00EA5C44" w:rsidP="00133AD0">
      <w:pPr>
        <w:pStyle w:val="NormalWeb"/>
        <w:spacing w:line="360" w:lineRule="auto"/>
        <w:jc w:val="both"/>
        <w:rPr>
          <w:rFonts w:ascii="Arial" w:hAnsi="Arial" w:cs="Arial"/>
        </w:rPr>
      </w:pPr>
    </w:p>
    <w:p w:rsidR="00EA5C44" w:rsidRDefault="00EA5C44" w:rsidP="00133AD0">
      <w:pPr>
        <w:pStyle w:val="NormalWeb"/>
        <w:spacing w:line="360" w:lineRule="auto"/>
        <w:jc w:val="both"/>
        <w:rPr>
          <w:rFonts w:ascii="Arial" w:hAnsi="Arial" w:cs="Arial"/>
        </w:rPr>
      </w:pPr>
    </w:p>
    <w:p w:rsidR="00133AD0" w:rsidRDefault="00133AD0" w:rsidP="00133AD0">
      <w:pPr>
        <w:pStyle w:val="NormalWeb"/>
        <w:spacing w:line="360" w:lineRule="auto"/>
        <w:jc w:val="both"/>
        <w:rPr>
          <w:rFonts w:ascii="Arial" w:hAnsi="Arial" w:cs="Arial"/>
        </w:rPr>
      </w:pPr>
    </w:p>
    <w:p w:rsidR="00133AD0" w:rsidRDefault="00133AD0" w:rsidP="00133AD0">
      <w:pPr>
        <w:pStyle w:val="NormalWeb"/>
        <w:spacing w:line="360" w:lineRule="auto"/>
        <w:jc w:val="both"/>
        <w:rPr>
          <w:rFonts w:ascii="Arial" w:hAnsi="Arial" w:cs="Arial"/>
        </w:rPr>
      </w:pPr>
    </w:p>
    <w:p w:rsidR="00133AD0" w:rsidRDefault="00133AD0" w:rsidP="00133AD0">
      <w:pPr>
        <w:pStyle w:val="NormalWeb"/>
        <w:spacing w:line="360" w:lineRule="auto"/>
        <w:jc w:val="both"/>
        <w:rPr>
          <w:rFonts w:ascii="Arial" w:hAnsi="Arial" w:cs="Arial"/>
        </w:rPr>
      </w:pPr>
    </w:p>
    <w:p w:rsidR="00133AD0" w:rsidRDefault="00133AD0" w:rsidP="00133AD0">
      <w:pPr>
        <w:pStyle w:val="NormalWeb"/>
        <w:spacing w:line="360" w:lineRule="auto"/>
        <w:jc w:val="both"/>
        <w:rPr>
          <w:rFonts w:ascii="Arial" w:hAnsi="Arial" w:cs="Arial"/>
        </w:rPr>
      </w:pPr>
    </w:p>
    <w:p w:rsidR="00133AD0" w:rsidRDefault="00133AD0" w:rsidP="00133AD0">
      <w:pPr>
        <w:pStyle w:val="NormalWeb"/>
        <w:spacing w:line="360" w:lineRule="auto"/>
        <w:jc w:val="both"/>
        <w:rPr>
          <w:rFonts w:ascii="Arial" w:hAnsi="Arial" w:cs="Arial"/>
        </w:rPr>
      </w:pPr>
    </w:p>
    <w:p w:rsidR="00133AD0" w:rsidRDefault="00133AD0" w:rsidP="00133AD0">
      <w:pPr>
        <w:pStyle w:val="NormalWeb"/>
        <w:spacing w:line="360" w:lineRule="auto"/>
        <w:jc w:val="both"/>
        <w:rPr>
          <w:rFonts w:ascii="Arial" w:hAnsi="Arial" w:cs="Arial"/>
        </w:rPr>
      </w:pPr>
    </w:p>
    <w:p w:rsidR="00133AD0" w:rsidRPr="00133AD0" w:rsidRDefault="00133AD0" w:rsidP="00133AD0">
      <w:pPr>
        <w:pStyle w:val="NormalWeb"/>
        <w:spacing w:line="360" w:lineRule="auto"/>
        <w:jc w:val="both"/>
        <w:rPr>
          <w:rFonts w:ascii="Arial" w:hAnsi="Arial" w:cs="Arial"/>
        </w:rPr>
      </w:pPr>
    </w:p>
    <w:p w:rsidR="00EA5C44" w:rsidRPr="00133AD0" w:rsidRDefault="00EA5C44" w:rsidP="00133AD0">
      <w:pPr>
        <w:pStyle w:val="NormalWeb"/>
        <w:spacing w:line="360" w:lineRule="auto"/>
        <w:jc w:val="both"/>
        <w:rPr>
          <w:rFonts w:ascii="Arial" w:hAnsi="Arial" w:cs="Arial"/>
        </w:rPr>
      </w:pPr>
    </w:p>
    <w:p w:rsidR="00B73B39" w:rsidRPr="00133AD0" w:rsidRDefault="00B73B39" w:rsidP="00133AD0">
      <w:pPr>
        <w:spacing w:before="100" w:beforeAutospacing="1" w:after="100" w:afterAutospacing="1" w:line="360" w:lineRule="auto"/>
        <w:jc w:val="both"/>
        <w:rPr>
          <w:rFonts w:ascii="Arial" w:hAnsi="Arial" w:cs="Arial"/>
        </w:rPr>
      </w:pPr>
    </w:p>
    <w:p w:rsidR="00B73B39" w:rsidRPr="00133AD0" w:rsidRDefault="00B73B39" w:rsidP="00133AD0">
      <w:pPr>
        <w:spacing w:before="100" w:beforeAutospacing="1" w:after="100" w:afterAutospacing="1" w:line="360" w:lineRule="auto"/>
        <w:jc w:val="both"/>
        <w:rPr>
          <w:rFonts w:ascii="Arial" w:hAnsi="Arial" w:cs="Arial"/>
        </w:rPr>
      </w:pPr>
    </w:p>
    <w:p w:rsidR="001C71E0" w:rsidRPr="00133AD0" w:rsidRDefault="001C71E0" w:rsidP="00133AD0">
      <w:pPr>
        <w:spacing w:line="360" w:lineRule="auto"/>
        <w:jc w:val="both"/>
        <w:rPr>
          <w:rFonts w:ascii="Arial" w:hAnsi="Arial" w:cs="Arial"/>
        </w:rPr>
      </w:pPr>
    </w:p>
    <w:p w:rsidR="001C71E0" w:rsidRPr="00133AD0" w:rsidRDefault="001C71E0" w:rsidP="00133AD0">
      <w:pPr>
        <w:spacing w:line="360" w:lineRule="auto"/>
        <w:jc w:val="both"/>
        <w:rPr>
          <w:rFonts w:ascii="Arial" w:hAnsi="Arial" w:cs="Arial"/>
        </w:rPr>
      </w:pPr>
    </w:p>
    <w:p w:rsidR="00447F11" w:rsidRPr="00133AD0" w:rsidRDefault="00EF42E4" w:rsidP="00133AD0">
      <w:pPr>
        <w:spacing w:line="360" w:lineRule="auto"/>
        <w:jc w:val="both"/>
        <w:rPr>
          <w:rFonts w:ascii="Arial" w:hAnsi="Arial" w:cs="Arial"/>
        </w:rPr>
      </w:pPr>
      <w:r w:rsidRPr="00133AD0">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133AD0" w:rsidRDefault="00EF42E4" w:rsidP="00133AD0">
      <w:pPr>
        <w:spacing w:line="360" w:lineRule="auto"/>
        <w:jc w:val="both"/>
        <w:rPr>
          <w:rFonts w:ascii="Arial" w:hAnsi="Arial" w:cs="Arial"/>
        </w:rPr>
      </w:pPr>
    </w:p>
    <w:p w:rsidR="00EF42E4" w:rsidRPr="00133AD0" w:rsidRDefault="00EF42E4" w:rsidP="00133AD0">
      <w:pPr>
        <w:spacing w:line="360" w:lineRule="auto"/>
        <w:jc w:val="both"/>
        <w:rPr>
          <w:rFonts w:ascii="Arial" w:hAnsi="Arial" w:cs="Arial"/>
        </w:rPr>
      </w:pPr>
    </w:p>
    <w:p w:rsidR="00EF42E4" w:rsidRPr="00133AD0" w:rsidRDefault="00EF42E4" w:rsidP="00133AD0">
      <w:pPr>
        <w:spacing w:line="360" w:lineRule="auto"/>
        <w:jc w:val="both"/>
        <w:rPr>
          <w:rFonts w:ascii="Arial" w:hAnsi="Arial" w:cs="Arial"/>
        </w:rPr>
      </w:pPr>
    </w:p>
    <w:p w:rsidR="00EF42E4" w:rsidRPr="00133AD0" w:rsidRDefault="00EF42E4" w:rsidP="00133AD0">
      <w:pPr>
        <w:spacing w:line="360" w:lineRule="auto"/>
        <w:jc w:val="both"/>
        <w:rPr>
          <w:rFonts w:ascii="Arial" w:hAnsi="Arial" w:cs="Arial"/>
        </w:rPr>
      </w:pPr>
    </w:p>
    <w:p w:rsidR="00483D29" w:rsidRPr="00133AD0" w:rsidRDefault="00483D29" w:rsidP="00133AD0">
      <w:pPr>
        <w:spacing w:line="360" w:lineRule="auto"/>
        <w:jc w:val="both"/>
        <w:rPr>
          <w:rFonts w:ascii="Arial" w:hAnsi="Arial" w:cs="Arial"/>
        </w:rPr>
      </w:pPr>
    </w:p>
    <w:p w:rsidR="00D02291" w:rsidRPr="00133AD0" w:rsidRDefault="00D02291" w:rsidP="00133AD0">
      <w:pPr>
        <w:pStyle w:val="NormalWeb"/>
        <w:spacing w:before="0" w:beforeAutospacing="0" w:after="0" w:afterAutospacing="0" w:line="360" w:lineRule="auto"/>
        <w:jc w:val="both"/>
        <w:rPr>
          <w:rFonts w:ascii="Arial" w:hAnsi="Arial" w:cs="Arial"/>
        </w:rPr>
      </w:pPr>
    </w:p>
    <w:sectPr w:rsidR="00D02291" w:rsidRPr="00133AD0" w:rsidSect="00EA5C44">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B5A" w:rsidRDefault="00236B5A">
      <w:r>
        <w:separator/>
      </w:r>
    </w:p>
  </w:endnote>
  <w:endnote w:type="continuationSeparator" w:id="0">
    <w:p w:rsidR="00236B5A" w:rsidRDefault="00236B5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500D4"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500D4"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EB5D04">
      <w:rPr>
        <w:rStyle w:val="Nmerodepgina"/>
        <w:noProof/>
      </w:rPr>
      <w:t>5</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B5A" w:rsidRDefault="00236B5A">
      <w:r>
        <w:separator/>
      </w:r>
    </w:p>
  </w:footnote>
  <w:footnote w:type="continuationSeparator" w:id="0">
    <w:p w:rsidR="00236B5A" w:rsidRDefault="00236B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500D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500D4"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E500D4">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21"/>
  </w:num>
  <w:num w:numId="4">
    <w:abstractNumId w:val="27"/>
  </w:num>
  <w:num w:numId="5">
    <w:abstractNumId w:val="33"/>
  </w:num>
  <w:num w:numId="6">
    <w:abstractNumId w:val="18"/>
    <w:lvlOverride w:ilvl="0">
      <w:lvl w:ilvl="0">
        <w:numFmt w:val="decimal"/>
        <w:lvlText w:val="%1."/>
        <w:lvlJc w:val="left"/>
      </w:lvl>
    </w:lvlOverride>
  </w:num>
  <w:num w:numId="7">
    <w:abstractNumId w:val="17"/>
  </w:num>
  <w:num w:numId="8">
    <w:abstractNumId w:val="12"/>
  </w:num>
  <w:num w:numId="9">
    <w:abstractNumId w:val="24"/>
  </w:num>
  <w:num w:numId="10">
    <w:abstractNumId w:val="20"/>
  </w:num>
  <w:num w:numId="11">
    <w:abstractNumId w:val="13"/>
  </w:num>
  <w:num w:numId="12">
    <w:abstractNumId w:val="28"/>
  </w:num>
  <w:num w:numId="13">
    <w:abstractNumId w:val="14"/>
  </w:num>
  <w:num w:numId="14">
    <w:abstractNumId w:val="15"/>
  </w:num>
  <w:num w:numId="15">
    <w:abstractNumId w:val="29"/>
  </w:num>
  <w:num w:numId="16">
    <w:abstractNumId w:val="32"/>
  </w:num>
  <w:num w:numId="17">
    <w:abstractNumId w:val="34"/>
  </w:num>
  <w:num w:numId="18">
    <w:abstractNumId w:val="36"/>
  </w:num>
  <w:num w:numId="19">
    <w:abstractNumId w:val="35"/>
  </w:num>
  <w:num w:numId="20">
    <w:abstractNumId w:val="31"/>
  </w:num>
  <w:num w:numId="21">
    <w:abstractNumId w:val="37"/>
  </w:num>
  <w:num w:numId="22">
    <w:abstractNumId w:val="11"/>
  </w:num>
  <w:num w:numId="23">
    <w:abstractNumId w:val="40"/>
  </w:num>
  <w:num w:numId="24">
    <w:abstractNumId w:val="19"/>
  </w:num>
  <w:num w:numId="25">
    <w:abstractNumId w:val="30"/>
  </w:num>
  <w:num w:numId="26">
    <w:abstractNumId w:val="39"/>
  </w:num>
  <w:num w:numId="27">
    <w:abstractNumId w:val="26"/>
  </w:num>
  <w:num w:numId="28">
    <w:abstractNumId w:val="10"/>
  </w:num>
  <w:num w:numId="29">
    <w:abstractNumId w:val="38"/>
  </w:num>
  <w:num w:numId="30">
    <w:abstractNumId w:val="22"/>
  </w:num>
  <w:num w:numId="31">
    <w:abstractNumId w:val="23"/>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stylePaneFormatFilter w:val="3F01"/>
  <w:defaultTabStop w:val="708"/>
  <w:hyphenationZone w:val="425"/>
  <w:characterSpacingControl w:val="doNotCompress"/>
  <w:hdrShapeDefaults>
    <o:shapedefaults v:ext="edit" spidmax="447490"/>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43A0"/>
    <w:rsid w:val="00076312"/>
    <w:rsid w:val="00077A88"/>
    <w:rsid w:val="000825EC"/>
    <w:rsid w:val="00083E4E"/>
    <w:rsid w:val="00086F28"/>
    <w:rsid w:val="000873CF"/>
    <w:rsid w:val="000915CD"/>
    <w:rsid w:val="00096DA1"/>
    <w:rsid w:val="000A133F"/>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2D88"/>
    <w:rsid w:val="00123215"/>
    <w:rsid w:val="00124EA1"/>
    <w:rsid w:val="00126642"/>
    <w:rsid w:val="00131CFB"/>
    <w:rsid w:val="00133AD0"/>
    <w:rsid w:val="001360FD"/>
    <w:rsid w:val="00136165"/>
    <w:rsid w:val="00137AEE"/>
    <w:rsid w:val="00140D3C"/>
    <w:rsid w:val="00140F44"/>
    <w:rsid w:val="00142C8E"/>
    <w:rsid w:val="0014307B"/>
    <w:rsid w:val="00143B44"/>
    <w:rsid w:val="00144AB1"/>
    <w:rsid w:val="00145211"/>
    <w:rsid w:val="00146353"/>
    <w:rsid w:val="00146577"/>
    <w:rsid w:val="0015267B"/>
    <w:rsid w:val="00153427"/>
    <w:rsid w:val="001543FF"/>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B78AD"/>
    <w:rsid w:val="001C0030"/>
    <w:rsid w:val="001C0F7E"/>
    <w:rsid w:val="001C6A86"/>
    <w:rsid w:val="001C71E0"/>
    <w:rsid w:val="001D6AB5"/>
    <w:rsid w:val="001D7106"/>
    <w:rsid w:val="001E0A4E"/>
    <w:rsid w:val="001E0D97"/>
    <w:rsid w:val="001E3E5C"/>
    <w:rsid w:val="001E438D"/>
    <w:rsid w:val="001E491C"/>
    <w:rsid w:val="001E5F6F"/>
    <w:rsid w:val="001F194A"/>
    <w:rsid w:val="001F2637"/>
    <w:rsid w:val="001F56C0"/>
    <w:rsid w:val="00202275"/>
    <w:rsid w:val="00204913"/>
    <w:rsid w:val="002054C7"/>
    <w:rsid w:val="00206865"/>
    <w:rsid w:val="00214BAE"/>
    <w:rsid w:val="0021672E"/>
    <w:rsid w:val="00222D9D"/>
    <w:rsid w:val="00224282"/>
    <w:rsid w:val="00225477"/>
    <w:rsid w:val="00227944"/>
    <w:rsid w:val="00232DFC"/>
    <w:rsid w:val="0023355F"/>
    <w:rsid w:val="00236A04"/>
    <w:rsid w:val="00236B5A"/>
    <w:rsid w:val="00241163"/>
    <w:rsid w:val="00241A9E"/>
    <w:rsid w:val="002456D5"/>
    <w:rsid w:val="00246CF8"/>
    <w:rsid w:val="00247F1A"/>
    <w:rsid w:val="00250136"/>
    <w:rsid w:val="0025036B"/>
    <w:rsid w:val="002503E9"/>
    <w:rsid w:val="00250B2A"/>
    <w:rsid w:val="00255846"/>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6667"/>
    <w:rsid w:val="002B7B7F"/>
    <w:rsid w:val="002C2243"/>
    <w:rsid w:val="002C61B5"/>
    <w:rsid w:val="002D11AD"/>
    <w:rsid w:val="002D21BE"/>
    <w:rsid w:val="002D2ED2"/>
    <w:rsid w:val="002D32FE"/>
    <w:rsid w:val="002D50B8"/>
    <w:rsid w:val="002E053F"/>
    <w:rsid w:val="002E3AC7"/>
    <w:rsid w:val="002E3BC0"/>
    <w:rsid w:val="002F042F"/>
    <w:rsid w:val="002F0907"/>
    <w:rsid w:val="002F6D88"/>
    <w:rsid w:val="002F7B53"/>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4A26"/>
    <w:rsid w:val="003458AA"/>
    <w:rsid w:val="00357DD2"/>
    <w:rsid w:val="00361A96"/>
    <w:rsid w:val="0036668D"/>
    <w:rsid w:val="00366E63"/>
    <w:rsid w:val="0036733A"/>
    <w:rsid w:val="00367EC5"/>
    <w:rsid w:val="00372666"/>
    <w:rsid w:val="00373292"/>
    <w:rsid w:val="00374027"/>
    <w:rsid w:val="00385AC4"/>
    <w:rsid w:val="00393327"/>
    <w:rsid w:val="003A1F2B"/>
    <w:rsid w:val="003A3123"/>
    <w:rsid w:val="003B28C1"/>
    <w:rsid w:val="003B4424"/>
    <w:rsid w:val="003B5346"/>
    <w:rsid w:val="003B6C70"/>
    <w:rsid w:val="003B6FA8"/>
    <w:rsid w:val="003B70A6"/>
    <w:rsid w:val="003B736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2021"/>
    <w:rsid w:val="004A4482"/>
    <w:rsid w:val="004A6D3B"/>
    <w:rsid w:val="004B28BD"/>
    <w:rsid w:val="004C1C76"/>
    <w:rsid w:val="004C1F35"/>
    <w:rsid w:val="004C2912"/>
    <w:rsid w:val="004C358F"/>
    <w:rsid w:val="004C4D7A"/>
    <w:rsid w:val="004C4DD6"/>
    <w:rsid w:val="004C5EF2"/>
    <w:rsid w:val="004D11E2"/>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97940"/>
    <w:rsid w:val="005B2316"/>
    <w:rsid w:val="005B364E"/>
    <w:rsid w:val="005B4DE8"/>
    <w:rsid w:val="005B56D9"/>
    <w:rsid w:val="005B75C9"/>
    <w:rsid w:val="005C19B9"/>
    <w:rsid w:val="005C3A65"/>
    <w:rsid w:val="005C42C4"/>
    <w:rsid w:val="005C523E"/>
    <w:rsid w:val="005D24D0"/>
    <w:rsid w:val="005D3C55"/>
    <w:rsid w:val="005D7F03"/>
    <w:rsid w:val="005E548E"/>
    <w:rsid w:val="005E56CF"/>
    <w:rsid w:val="005F0649"/>
    <w:rsid w:val="005F23CF"/>
    <w:rsid w:val="005F41D2"/>
    <w:rsid w:val="005F6243"/>
    <w:rsid w:val="005F7C83"/>
    <w:rsid w:val="0060154D"/>
    <w:rsid w:val="00605E0D"/>
    <w:rsid w:val="0061004A"/>
    <w:rsid w:val="00621861"/>
    <w:rsid w:val="0063047C"/>
    <w:rsid w:val="0063121F"/>
    <w:rsid w:val="00632790"/>
    <w:rsid w:val="00643141"/>
    <w:rsid w:val="006505F3"/>
    <w:rsid w:val="006548DB"/>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77B4"/>
    <w:rsid w:val="006928C9"/>
    <w:rsid w:val="006930B8"/>
    <w:rsid w:val="006936BB"/>
    <w:rsid w:val="006949F3"/>
    <w:rsid w:val="00697334"/>
    <w:rsid w:val="006A1490"/>
    <w:rsid w:val="006A1BCD"/>
    <w:rsid w:val="006A4E17"/>
    <w:rsid w:val="006A5309"/>
    <w:rsid w:val="006A61E4"/>
    <w:rsid w:val="006B159B"/>
    <w:rsid w:val="006B447B"/>
    <w:rsid w:val="006C0996"/>
    <w:rsid w:val="006C1DC1"/>
    <w:rsid w:val="006C350A"/>
    <w:rsid w:val="006C3DA2"/>
    <w:rsid w:val="006C640B"/>
    <w:rsid w:val="006C6430"/>
    <w:rsid w:val="006D0258"/>
    <w:rsid w:val="006D4E8D"/>
    <w:rsid w:val="006D5D22"/>
    <w:rsid w:val="006E3887"/>
    <w:rsid w:val="006E6BA2"/>
    <w:rsid w:val="006E73A1"/>
    <w:rsid w:val="006E74F1"/>
    <w:rsid w:val="006F1D1A"/>
    <w:rsid w:val="006F4431"/>
    <w:rsid w:val="006F6E0F"/>
    <w:rsid w:val="007019DC"/>
    <w:rsid w:val="00701F10"/>
    <w:rsid w:val="00702306"/>
    <w:rsid w:val="00702897"/>
    <w:rsid w:val="00717478"/>
    <w:rsid w:val="00721D3E"/>
    <w:rsid w:val="00722C56"/>
    <w:rsid w:val="007252D3"/>
    <w:rsid w:val="00727120"/>
    <w:rsid w:val="0072781A"/>
    <w:rsid w:val="00730F24"/>
    <w:rsid w:val="00731EBB"/>
    <w:rsid w:val="007320B2"/>
    <w:rsid w:val="007348FE"/>
    <w:rsid w:val="00734A63"/>
    <w:rsid w:val="00734BA9"/>
    <w:rsid w:val="00741184"/>
    <w:rsid w:val="007419EB"/>
    <w:rsid w:val="00743988"/>
    <w:rsid w:val="007440F5"/>
    <w:rsid w:val="0074498C"/>
    <w:rsid w:val="007465D8"/>
    <w:rsid w:val="00747158"/>
    <w:rsid w:val="00760140"/>
    <w:rsid w:val="00760ECB"/>
    <w:rsid w:val="007635F9"/>
    <w:rsid w:val="00763C44"/>
    <w:rsid w:val="00765E89"/>
    <w:rsid w:val="00767711"/>
    <w:rsid w:val="00767F47"/>
    <w:rsid w:val="00772E66"/>
    <w:rsid w:val="0077398E"/>
    <w:rsid w:val="007771EA"/>
    <w:rsid w:val="00782C76"/>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2B11"/>
    <w:rsid w:val="007E33DE"/>
    <w:rsid w:val="007E4C61"/>
    <w:rsid w:val="007E5901"/>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43D7"/>
    <w:rsid w:val="00840498"/>
    <w:rsid w:val="00841973"/>
    <w:rsid w:val="00843326"/>
    <w:rsid w:val="0084497B"/>
    <w:rsid w:val="00845420"/>
    <w:rsid w:val="00845B49"/>
    <w:rsid w:val="00850985"/>
    <w:rsid w:val="00851897"/>
    <w:rsid w:val="008523FA"/>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271D"/>
    <w:rsid w:val="008B475A"/>
    <w:rsid w:val="008B6D39"/>
    <w:rsid w:val="008C05D0"/>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5ACC"/>
    <w:rsid w:val="00985CDE"/>
    <w:rsid w:val="00987906"/>
    <w:rsid w:val="00993871"/>
    <w:rsid w:val="0099563E"/>
    <w:rsid w:val="00996BCB"/>
    <w:rsid w:val="009A0719"/>
    <w:rsid w:val="009A2007"/>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F140E"/>
    <w:rsid w:val="009F333D"/>
    <w:rsid w:val="009F3578"/>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8339A"/>
    <w:rsid w:val="00A83D2C"/>
    <w:rsid w:val="00A8474C"/>
    <w:rsid w:val="00A84D3A"/>
    <w:rsid w:val="00A9327F"/>
    <w:rsid w:val="00A95C68"/>
    <w:rsid w:val="00A9688F"/>
    <w:rsid w:val="00A96918"/>
    <w:rsid w:val="00A96FFE"/>
    <w:rsid w:val="00AA6AE7"/>
    <w:rsid w:val="00AA7BA7"/>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2BC"/>
    <w:rsid w:val="00AF0E4C"/>
    <w:rsid w:val="00AF3041"/>
    <w:rsid w:val="00AF30DF"/>
    <w:rsid w:val="00AF4FF9"/>
    <w:rsid w:val="00B00F10"/>
    <w:rsid w:val="00B01332"/>
    <w:rsid w:val="00B0481C"/>
    <w:rsid w:val="00B07DFC"/>
    <w:rsid w:val="00B11575"/>
    <w:rsid w:val="00B121E1"/>
    <w:rsid w:val="00B1439E"/>
    <w:rsid w:val="00B1491D"/>
    <w:rsid w:val="00B15AF5"/>
    <w:rsid w:val="00B1674E"/>
    <w:rsid w:val="00B2104D"/>
    <w:rsid w:val="00B226F2"/>
    <w:rsid w:val="00B25CE4"/>
    <w:rsid w:val="00B267C7"/>
    <w:rsid w:val="00B274E9"/>
    <w:rsid w:val="00B30A91"/>
    <w:rsid w:val="00B32BCB"/>
    <w:rsid w:val="00B34083"/>
    <w:rsid w:val="00B3697E"/>
    <w:rsid w:val="00B42A16"/>
    <w:rsid w:val="00B51FE2"/>
    <w:rsid w:val="00B5283C"/>
    <w:rsid w:val="00B52CEA"/>
    <w:rsid w:val="00B665F0"/>
    <w:rsid w:val="00B6674D"/>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3405"/>
    <w:rsid w:val="00BD4366"/>
    <w:rsid w:val="00BD6C6B"/>
    <w:rsid w:val="00BE3E2D"/>
    <w:rsid w:val="00BE7E86"/>
    <w:rsid w:val="00BF0199"/>
    <w:rsid w:val="00BF104B"/>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2075"/>
    <w:rsid w:val="00D13FD6"/>
    <w:rsid w:val="00D144CA"/>
    <w:rsid w:val="00D15A68"/>
    <w:rsid w:val="00D170D1"/>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5397"/>
    <w:rsid w:val="00D6655E"/>
    <w:rsid w:val="00D67092"/>
    <w:rsid w:val="00D677E7"/>
    <w:rsid w:val="00D70381"/>
    <w:rsid w:val="00D70616"/>
    <w:rsid w:val="00D71DD8"/>
    <w:rsid w:val="00D7270E"/>
    <w:rsid w:val="00D74366"/>
    <w:rsid w:val="00D83636"/>
    <w:rsid w:val="00D83FB0"/>
    <w:rsid w:val="00D84073"/>
    <w:rsid w:val="00D840C3"/>
    <w:rsid w:val="00D8664C"/>
    <w:rsid w:val="00D91BBD"/>
    <w:rsid w:val="00D93BDB"/>
    <w:rsid w:val="00D93C06"/>
    <w:rsid w:val="00DA035E"/>
    <w:rsid w:val="00DA2A7E"/>
    <w:rsid w:val="00DA3B37"/>
    <w:rsid w:val="00DA5CEF"/>
    <w:rsid w:val="00DA7836"/>
    <w:rsid w:val="00DB0789"/>
    <w:rsid w:val="00DB0B67"/>
    <w:rsid w:val="00DB107B"/>
    <w:rsid w:val="00DB6FE4"/>
    <w:rsid w:val="00DB7CC5"/>
    <w:rsid w:val="00DC1095"/>
    <w:rsid w:val="00DC1455"/>
    <w:rsid w:val="00DC2219"/>
    <w:rsid w:val="00DC287F"/>
    <w:rsid w:val="00DC7EF8"/>
    <w:rsid w:val="00DD1B7E"/>
    <w:rsid w:val="00DD2A26"/>
    <w:rsid w:val="00DD529E"/>
    <w:rsid w:val="00DD6B7F"/>
    <w:rsid w:val="00DD7FE9"/>
    <w:rsid w:val="00DF069E"/>
    <w:rsid w:val="00DF2C68"/>
    <w:rsid w:val="00E00F46"/>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00D4"/>
    <w:rsid w:val="00E51257"/>
    <w:rsid w:val="00E54A89"/>
    <w:rsid w:val="00E614F2"/>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5C44"/>
    <w:rsid w:val="00EA76F3"/>
    <w:rsid w:val="00EA7AE7"/>
    <w:rsid w:val="00EB27C2"/>
    <w:rsid w:val="00EB32D4"/>
    <w:rsid w:val="00EB47E7"/>
    <w:rsid w:val="00EB4BF1"/>
    <w:rsid w:val="00EB53BE"/>
    <w:rsid w:val="00EB592E"/>
    <w:rsid w:val="00EB5D04"/>
    <w:rsid w:val="00EB5DEB"/>
    <w:rsid w:val="00EB602F"/>
    <w:rsid w:val="00EB7936"/>
    <w:rsid w:val="00EC0F42"/>
    <w:rsid w:val="00EC325E"/>
    <w:rsid w:val="00EC4C56"/>
    <w:rsid w:val="00EC65E3"/>
    <w:rsid w:val="00EC6633"/>
    <w:rsid w:val="00ED148D"/>
    <w:rsid w:val="00ED2338"/>
    <w:rsid w:val="00ED4B6B"/>
    <w:rsid w:val="00ED5F41"/>
    <w:rsid w:val="00EE229B"/>
    <w:rsid w:val="00EE7B55"/>
    <w:rsid w:val="00EF1B04"/>
    <w:rsid w:val="00EF3860"/>
    <w:rsid w:val="00EF42E4"/>
    <w:rsid w:val="00EF669D"/>
    <w:rsid w:val="00F01347"/>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50A25"/>
    <w:rsid w:val="00F50D86"/>
    <w:rsid w:val="00F513B5"/>
    <w:rsid w:val="00F53CB8"/>
    <w:rsid w:val="00F53EA7"/>
    <w:rsid w:val="00F56E96"/>
    <w:rsid w:val="00F606E4"/>
    <w:rsid w:val="00F60E02"/>
    <w:rsid w:val="00F63FD9"/>
    <w:rsid w:val="00F64D09"/>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7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46FC4-D7D8-47C6-840D-732B8D84D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1032</Words>
  <Characters>5681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6700</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2016-04-29T08:16:00Z</cp:lastPrinted>
  <dcterms:created xsi:type="dcterms:W3CDTF">2016-04-29T08:15:00Z</dcterms:created>
  <dcterms:modified xsi:type="dcterms:W3CDTF">2016-04-29T08:16:00Z</dcterms:modified>
</cp:coreProperties>
</file>