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8D" w:rsidRPr="001E438D" w:rsidRDefault="0017511F" w:rsidP="001E438D">
      <w:pPr>
        <w:pStyle w:val="Style1"/>
        <w:tabs>
          <w:tab w:val="right" w:pos="10861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777.95pt;width:544.3pt;height:9.4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1E438D" w:rsidRPr="00BC6CCB" w:rsidRDefault="001E438D" w:rsidP="001E438D">
                  <w:pPr>
                    <w:rPr>
                      <w:rStyle w:val="CharacterStyle2"/>
                      <w:sz w:val="24"/>
                      <w:szCs w:val="19"/>
                    </w:rPr>
                  </w:pPr>
                </w:p>
              </w:txbxContent>
            </v:textbox>
            <w10:wrap type="square"/>
          </v:shape>
        </w:pict>
      </w:r>
      <w:r w:rsidR="001E438D">
        <w:rPr>
          <w:rStyle w:val="CharacterStyle2"/>
          <w:rFonts w:ascii="Arial" w:hAnsi="Arial" w:cs="Arial"/>
          <w:w w:val="105"/>
          <w:sz w:val="24"/>
          <w:szCs w:val="24"/>
        </w:rPr>
        <w:t xml:space="preserve">SEGUROS. Lucro cesante. </w:t>
      </w:r>
      <w:r w:rsidR="001E438D" w:rsidRPr="001E438D">
        <w:rPr>
          <w:rStyle w:val="CharacterStyle2"/>
          <w:rFonts w:ascii="Arial" w:hAnsi="Arial" w:cs="Arial"/>
          <w:iCs/>
          <w:spacing w:val="17"/>
          <w:sz w:val="24"/>
          <w:szCs w:val="24"/>
        </w:rPr>
        <w:t xml:space="preserve">Necesito reclamar por unas lesiones derivadas de un accidente de circulación en la que </w:t>
      </w:r>
      <w:r w:rsidR="001E438D" w:rsidRPr="001E438D">
        <w:rPr>
          <w:rStyle w:val="CharacterStyle2"/>
          <w:rFonts w:ascii="Arial" w:hAnsi="Arial" w:cs="Arial"/>
          <w:iCs/>
          <w:spacing w:val="14"/>
          <w:sz w:val="24"/>
          <w:szCs w:val="24"/>
        </w:rPr>
        <w:t xml:space="preserve">exclusivamente se generan lesiones temporales, y en la que está vigente el anexo del texto </w:t>
      </w:r>
      <w:r w:rsidR="001E438D" w:rsidRPr="001E438D">
        <w:rPr>
          <w:rStyle w:val="CharacterStyle2"/>
          <w:rFonts w:ascii="Arial" w:hAnsi="Arial" w:cs="Arial"/>
          <w:iCs/>
          <w:spacing w:val="8"/>
          <w:sz w:val="24"/>
          <w:szCs w:val="24"/>
        </w:rPr>
        <w:t xml:space="preserve">refundido de la Ley sobre responsabilidad civil y seguro en la circulación de vehículos a motor </w:t>
      </w:r>
      <w:r w:rsidR="001E438D" w:rsidRPr="001E438D">
        <w:rPr>
          <w:rStyle w:val="CharacterStyle2"/>
          <w:rFonts w:ascii="Arial" w:hAnsi="Arial" w:cs="Arial"/>
          <w:iCs/>
          <w:spacing w:val="9"/>
          <w:sz w:val="24"/>
          <w:szCs w:val="24"/>
        </w:rPr>
        <w:t xml:space="preserve">aprobado por el Real Decreto Legislativo 812004 de 29 de octubre (LA LEY 145912004) (sistema </w:t>
      </w:r>
      <w:r w:rsidR="001E438D" w:rsidRPr="001E438D">
        <w:rPr>
          <w:rStyle w:val="CharacterStyle2"/>
          <w:rFonts w:ascii="Arial" w:hAnsi="Arial" w:cs="Arial"/>
          <w:iCs/>
          <w:spacing w:val="10"/>
          <w:sz w:val="24"/>
          <w:szCs w:val="24"/>
        </w:rPr>
        <w:t xml:space="preserve">de valoración anterior a 2016). Se me plantea el problema de determinar las cuantías a las que </w:t>
      </w:r>
      <w:r w:rsidR="001E438D" w:rsidRPr="001E438D">
        <w:rPr>
          <w:rStyle w:val="CharacterStyle2"/>
          <w:rFonts w:ascii="Arial" w:hAnsi="Arial" w:cs="Arial"/>
          <w:iCs/>
          <w:spacing w:val="6"/>
          <w:sz w:val="24"/>
          <w:szCs w:val="24"/>
        </w:rPr>
        <w:t xml:space="preserve">tiene derecho mi cliente, y la posibilidad de reclamar por el lucro cesante. El problema, en relación </w:t>
      </w:r>
      <w:r w:rsidR="001E438D" w:rsidRPr="001E438D">
        <w:rPr>
          <w:rStyle w:val="CharacterStyle2"/>
          <w:rFonts w:ascii="Arial" w:hAnsi="Arial" w:cs="Arial"/>
          <w:iCs/>
          <w:spacing w:val="8"/>
          <w:sz w:val="24"/>
          <w:szCs w:val="24"/>
        </w:rPr>
        <w:t xml:space="preserve">con el lucro cesante de la indemnización, es que mi cliente no puede acreditar ingresos en la época </w:t>
      </w:r>
      <w:r w:rsidR="001E438D" w:rsidRPr="001E438D">
        <w:rPr>
          <w:rStyle w:val="CharacterStyle2"/>
          <w:rFonts w:ascii="Arial" w:hAnsi="Arial" w:cs="Arial"/>
          <w:iCs/>
          <w:spacing w:val="10"/>
          <w:sz w:val="24"/>
          <w:szCs w:val="24"/>
        </w:rPr>
        <w:t xml:space="preserve">de las lesiones. ¿Implica la imposibilidad de acreditar ingresos que no exista derecho a obtener </w:t>
      </w:r>
      <w:r w:rsidR="001E438D" w:rsidRPr="001E438D">
        <w:rPr>
          <w:rStyle w:val="CharacterStyle2"/>
          <w:rFonts w:ascii="Arial" w:hAnsi="Arial" w:cs="Arial"/>
          <w:iCs/>
          <w:spacing w:val="7"/>
          <w:sz w:val="24"/>
          <w:szCs w:val="24"/>
        </w:rPr>
        <w:t>una indemnización por el concepto de lucro cesante?</w:t>
      </w:r>
    </w:p>
    <w:p w:rsidR="00797717" w:rsidRDefault="001E438D" w:rsidP="001E438D">
      <w:pPr>
        <w:pStyle w:val="Style2"/>
        <w:kinsoku w:val="0"/>
        <w:autoSpaceDE/>
        <w:autoSpaceDN/>
        <w:spacing w:before="504" w:line="360" w:lineRule="auto"/>
        <w:rPr>
          <w:rStyle w:val="CharacterStyle1"/>
          <w:spacing w:val="3"/>
          <w:w w:val="105"/>
          <w:sz w:val="24"/>
          <w:szCs w:val="24"/>
        </w:rPr>
      </w:pPr>
      <w:r w:rsidRPr="001E438D">
        <w:rPr>
          <w:rStyle w:val="CharacterStyle1"/>
          <w:spacing w:val="6"/>
          <w:w w:val="105"/>
          <w:sz w:val="24"/>
          <w:szCs w:val="24"/>
        </w:rPr>
        <w:t xml:space="preserve">Como es bien sabido, el periodo de incapacidad temporal se extiende desde la fecha del accidente </w:t>
      </w:r>
      <w:r w:rsidRPr="001E438D">
        <w:rPr>
          <w:rStyle w:val="CharacterStyle1"/>
          <w:spacing w:val="8"/>
          <w:w w:val="105"/>
          <w:sz w:val="24"/>
          <w:szCs w:val="24"/>
        </w:rPr>
        <w:t xml:space="preserve">hasta la finalización del proceso curativo o, en aquellos supuestos en los que existen, hasta la </w:t>
      </w:r>
      <w:r w:rsidRPr="001E438D">
        <w:rPr>
          <w:rStyle w:val="CharacterStyle1"/>
          <w:spacing w:val="3"/>
          <w:w w:val="105"/>
          <w:sz w:val="24"/>
          <w:szCs w:val="24"/>
        </w:rPr>
        <w:t>estabilización de la lesión y su conversión en secuela.</w:t>
      </w:r>
    </w:p>
    <w:p w:rsidR="00797717" w:rsidRPr="001E438D" w:rsidRDefault="00797717" w:rsidP="001E438D">
      <w:pPr>
        <w:pStyle w:val="Style2"/>
        <w:kinsoku w:val="0"/>
        <w:autoSpaceDE/>
        <w:autoSpaceDN/>
        <w:spacing w:before="504" w:line="360" w:lineRule="auto"/>
        <w:rPr>
          <w:rStyle w:val="CharacterStyle1"/>
          <w:spacing w:val="3"/>
          <w:w w:val="105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w w:val="105"/>
          <w:sz w:val="24"/>
          <w:szCs w:val="24"/>
        </w:rPr>
      </w:pPr>
      <w:r w:rsidRPr="001E438D">
        <w:rPr>
          <w:rStyle w:val="CharacterStyle1"/>
          <w:w w:val="105"/>
          <w:sz w:val="24"/>
          <w:szCs w:val="24"/>
        </w:rPr>
        <w:t xml:space="preserve">El régimen legal establecido para determinar la indemnización correspondiente por estos perjuicios se </w:t>
      </w:r>
      <w:r w:rsidRPr="001E438D">
        <w:rPr>
          <w:rStyle w:val="CharacterStyle1"/>
          <w:spacing w:val="10"/>
          <w:w w:val="105"/>
          <w:sz w:val="24"/>
          <w:szCs w:val="24"/>
        </w:rPr>
        <w:t xml:space="preserve">encuentra recogido en el apartado A) de la tabla y relativa a las indemnizaciones básicas por </w:t>
      </w:r>
      <w:r w:rsidRPr="001E438D">
        <w:rPr>
          <w:rStyle w:val="CharacterStyle1"/>
          <w:spacing w:val="17"/>
          <w:w w:val="105"/>
          <w:sz w:val="24"/>
          <w:szCs w:val="24"/>
        </w:rPr>
        <w:t xml:space="preserve">incapacidad temporal (incluido daño moral), donde se distinguen tres tipos distintos de </w:t>
      </w:r>
      <w:r w:rsidRPr="001E438D">
        <w:rPr>
          <w:rStyle w:val="CharacterStyle1"/>
          <w:spacing w:val="4"/>
          <w:w w:val="105"/>
          <w:sz w:val="24"/>
          <w:szCs w:val="24"/>
        </w:rPr>
        <w:t xml:space="preserve">indemnizaciones atendiendo al criterio de que los días de baja sean de hospitalización, impeditivos o </w:t>
      </w:r>
      <w:r w:rsidRPr="001E438D">
        <w:rPr>
          <w:rStyle w:val="CharacterStyle1"/>
          <w:w w:val="105"/>
          <w:sz w:val="24"/>
          <w:szCs w:val="24"/>
        </w:rPr>
        <w:t>no impeditivos.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w w:val="105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3"/>
          <w:w w:val="105"/>
          <w:sz w:val="24"/>
          <w:szCs w:val="24"/>
        </w:rPr>
      </w:pPr>
      <w:r w:rsidRPr="001E438D">
        <w:rPr>
          <w:rStyle w:val="CharacterStyle1"/>
          <w:spacing w:val="8"/>
          <w:w w:val="105"/>
          <w:sz w:val="24"/>
          <w:szCs w:val="24"/>
        </w:rPr>
        <w:t xml:space="preserve">A este perjuicio, que debe incardinarse dentro del ámbito del </w:t>
      </w:r>
      <w:r w:rsidRPr="001E438D">
        <w:rPr>
          <w:rStyle w:val="CharacterStyle1"/>
          <w:spacing w:val="8"/>
          <w:w w:val="105"/>
          <w:sz w:val="24"/>
          <w:szCs w:val="24"/>
        </w:rPr>
        <w:lastRenderedPageBreak/>
        <w:t xml:space="preserve">perjuicio inmaterial o moral se le </w:t>
      </w:r>
      <w:r w:rsidRPr="001E438D">
        <w:rPr>
          <w:rStyle w:val="CharacterStyle1"/>
          <w:spacing w:val="3"/>
          <w:w w:val="105"/>
          <w:sz w:val="24"/>
          <w:szCs w:val="24"/>
        </w:rPr>
        <w:t>pueden incrementar otros daños como la pérdida de ingresos por la imposibilidad de trabajar o las dificultades para trabajar al mismo ritmo y en las mismas condiciones; o el coste de ayudas técnicas como muletas, tratamiento de rehabilitación o farmacológico.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3"/>
          <w:w w:val="105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2"/>
          <w:w w:val="105"/>
          <w:sz w:val="24"/>
          <w:szCs w:val="24"/>
        </w:rPr>
      </w:pPr>
      <w:r w:rsidRPr="001E438D">
        <w:rPr>
          <w:rStyle w:val="CharacterStyle1"/>
          <w:spacing w:val="5"/>
          <w:w w:val="105"/>
          <w:sz w:val="24"/>
          <w:szCs w:val="24"/>
        </w:rPr>
        <w:t xml:space="preserve">El régimen jurídico para el resarcimiento de estos otros daños se encuentra recogido en el apartado B) de la Tabla V (factor corrector por perjuicios económicos) y en el apartado 1.6 del Anexo, referido </w:t>
      </w:r>
      <w:r w:rsidRPr="001E438D">
        <w:rPr>
          <w:rStyle w:val="CharacterStyle1"/>
          <w:spacing w:val="4"/>
          <w:w w:val="105"/>
          <w:sz w:val="24"/>
          <w:szCs w:val="24"/>
        </w:rPr>
        <w:t xml:space="preserve">al abono de los gastos de asistencia médica, farmacéutica y hospitalaria en la cuantía necesaria hasta </w:t>
      </w:r>
      <w:r w:rsidRPr="001E438D">
        <w:rPr>
          <w:rStyle w:val="CharacterStyle1"/>
          <w:spacing w:val="12"/>
          <w:w w:val="105"/>
          <w:sz w:val="24"/>
          <w:szCs w:val="24"/>
        </w:rPr>
        <w:t xml:space="preserve">la sanación o consolidación de secuelas, siempre que el gasto esté debidamente justificado </w:t>
      </w:r>
      <w:r w:rsidRPr="001E438D">
        <w:rPr>
          <w:rStyle w:val="CharacterStyle1"/>
          <w:spacing w:val="3"/>
          <w:w w:val="105"/>
          <w:sz w:val="24"/>
          <w:szCs w:val="24"/>
        </w:rPr>
        <w:t xml:space="preserve">atendiendo a la naturaleza de la asistencia prestada. Generalmente los gastos realizados en ayudas </w:t>
      </w:r>
      <w:r w:rsidRPr="001E438D">
        <w:rPr>
          <w:rStyle w:val="CharacterStyle1"/>
          <w:spacing w:val="1"/>
          <w:w w:val="105"/>
          <w:sz w:val="24"/>
          <w:szCs w:val="24"/>
        </w:rPr>
        <w:t xml:space="preserve">técnicas, prótesis y similares suelen resarcirse durante el periodo de incapacidad a pesar de no estar </w:t>
      </w:r>
      <w:r w:rsidRPr="001E438D">
        <w:rPr>
          <w:rStyle w:val="CharacterStyle1"/>
          <w:spacing w:val="2"/>
          <w:w w:val="105"/>
          <w:sz w:val="24"/>
          <w:szCs w:val="24"/>
        </w:rPr>
        <w:t>expresamente previstos en la norma.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2"/>
          <w:w w:val="105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2"/>
          <w:w w:val="105"/>
          <w:sz w:val="24"/>
          <w:szCs w:val="24"/>
        </w:rPr>
      </w:pPr>
      <w:r w:rsidRPr="001E438D">
        <w:rPr>
          <w:rStyle w:val="CharacterStyle1"/>
          <w:spacing w:val="8"/>
          <w:w w:val="105"/>
          <w:sz w:val="24"/>
          <w:szCs w:val="24"/>
        </w:rPr>
        <w:t xml:space="preserve">En lo que respecta al resarcimiento del lucro cesante, la Memoria del Fiscal General del Estado </w:t>
      </w:r>
      <w:r w:rsidRPr="001E438D">
        <w:rPr>
          <w:rStyle w:val="CharacterStyle1"/>
          <w:spacing w:val="5"/>
          <w:w w:val="105"/>
          <w:sz w:val="24"/>
          <w:szCs w:val="24"/>
        </w:rPr>
        <w:t xml:space="preserve">correspondiente al año 2010, afirma que: «El sistema de valoración introduce el lucro cesante como </w:t>
      </w:r>
      <w:r w:rsidRPr="001E438D">
        <w:rPr>
          <w:rStyle w:val="CharacterStyle1"/>
          <w:spacing w:val="3"/>
          <w:w w:val="105"/>
          <w:sz w:val="24"/>
          <w:szCs w:val="24"/>
        </w:rPr>
        <w:t xml:space="preserve">un factor de corrección a aplicar sobre las indemnizaciones básicas previstas para las lesiones o el </w:t>
      </w:r>
      <w:r w:rsidRPr="001E438D">
        <w:rPr>
          <w:rStyle w:val="CharacterStyle1"/>
          <w:spacing w:val="2"/>
          <w:w w:val="105"/>
          <w:sz w:val="24"/>
          <w:szCs w:val="24"/>
        </w:rPr>
        <w:t xml:space="preserve">fallecimiento, a pesar de que estas indemnizaciones básicas están orientadas a resarcir un daño no </w:t>
      </w:r>
      <w:r w:rsidRPr="001E438D">
        <w:rPr>
          <w:rStyle w:val="CharacterStyle1"/>
          <w:spacing w:val="3"/>
          <w:w w:val="105"/>
          <w:sz w:val="24"/>
          <w:szCs w:val="24"/>
        </w:rPr>
        <w:t xml:space="preserve">patrimonial configurándose de tal forma que la víctima tiene que acreditar su capacidad de generar </w:t>
      </w:r>
      <w:r w:rsidRPr="001E438D">
        <w:rPr>
          <w:rStyle w:val="CharacterStyle1"/>
          <w:spacing w:val="4"/>
          <w:w w:val="105"/>
          <w:sz w:val="24"/>
          <w:szCs w:val="24"/>
        </w:rPr>
        <w:t xml:space="preserve">ingresos en el momento del siniestro y no las expectativas de ganancias futuras cuya valoración no </w:t>
      </w:r>
      <w:r w:rsidRPr="001E438D">
        <w:rPr>
          <w:rStyle w:val="CharacterStyle1"/>
          <w:spacing w:val="2"/>
          <w:w w:val="105"/>
          <w:sz w:val="24"/>
          <w:szCs w:val="24"/>
        </w:rPr>
        <w:t>tiene cabida en el sistema actual».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2"/>
          <w:w w:val="105"/>
          <w:sz w:val="24"/>
          <w:szCs w:val="24"/>
        </w:rPr>
      </w:pPr>
    </w:p>
    <w:p w:rsidR="001E438D" w:rsidRDefault="001E438D" w:rsidP="001E438D">
      <w:pPr>
        <w:pStyle w:val="Style1"/>
        <w:kinsoku w:val="0"/>
        <w:autoSpaceDE/>
        <w:autoSpaceDN/>
        <w:adjustRightInd/>
        <w:spacing w:before="108" w:line="360" w:lineRule="auto"/>
        <w:jc w:val="both"/>
        <w:rPr>
          <w:rStyle w:val="CharacterStyle1"/>
          <w:spacing w:val="4"/>
          <w:w w:val="105"/>
          <w:sz w:val="24"/>
          <w:szCs w:val="24"/>
        </w:rPr>
      </w:pPr>
      <w:r w:rsidRPr="001E438D">
        <w:rPr>
          <w:rStyle w:val="CharacterStyle2"/>
          <w:rFonts w:ascii="Arial" w:hAnsi="Arial" w:cs="Arial"/>
          <w:spacing w:val="7"/>
          <w:w w:val="105"/>
          <w:sz w:val="24"/>
          <w:szCs w:val="24"/>
        </w:rPr>
        <w:lastRenderedPageBreak/>
        <w:t>De hecho, aunque formalmente los factores correctores por perjuicios económicos son similares en</w:t>
      </w:r>
      <w:r w:rsidRPr="001E438D">
        <w:rPr>
          <w:rStyle w:val="CharacterStyle2"/>
          <w:rFonts w:ascii="Arial" w:hAnsi="Arial" w:cs="Arial"/>
          <w:spacing w:val="7"/>
          <w:w w:val="105"/>
          <w:sz w:val="24"/>
          <w:szCs w:val="24"/>
        </w:rPr>
        <w:br/>
        <w:t>las Tablas II (relativas a los factores de corrección para la indemnizaciones básica por muerte), IV</w:t>
      </w:r>
      <w:r w:rsidR="0017511F" w:rsidRPr="0017511F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left:0;text-align:left;margin-left:0;margin-top:777.6pt;width:544.95pt;height:9.8pt;z-index:251661312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1E438D" w:rsidRPr="00BC6CCB" w:rsidRDefault="001E438D" w:rsidP="001E438D">
                  <w:pPr>
                    <w:rPr>
                      <w:rStyle w:val="CharacterStyle2"/>
                      <w:sz w:val="24"/>
                      <w:szCs w:val="19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2"/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1E438D">
        <w:rPr>
          <w:rStyle w:val="CharacterStyle1"/>
          <w:spacing w:val="3"/>
          <w:w w:val="105"/>
          <w:sz w:val="24"/>
          <w:szCs w:val="24"/>
        </w:rPr>
        <w:t xml:space="preserve">(relativas a los factores de corrección por lesiones permanentes) y y B) (relativas a los factores de </w:t>
      </w:r>
      <w:r w:rsidRPr="001E438D">
        <w:rPr>
          <w:rStyle w:val="CharacterStyle1"/>
          <w:spacing w:val="5"/>
          <w:w w:val="105"/>
          <w:sz w:val="24"/>
          <w:szCs w:val="24"/>
        </w:rPr>
        <w:t xml:space="preserve">corrección por lesiones permanentes), algún sector doctrinal puntualiza que, en realidad, la prueba </w:t>
      </w:r>
      <w:r w:rsidRPr="001E438D">
        <w:rPr>
          <w:rStyle w:val="CharacterStyle1"/>
          <w:spacing w:val="9"/>
          <w:w w:val="105"/>
          <w:sz w:val="24"/>
          <w:szCs w:val="24"/>
        </w:rPr>
        <w:t xml:space="preserve">del lucro cesante es muy distinta en la tabla relativa a los factores de corrección por lesiones </w:t>
      </w:r>
      <w:r w:rsidRPr="001E438D">
        <w:rPr>
          <w:rStyle w:val="CharacterStyle1"/>
          <w:spacing w:val="1"/>
          <w:w w:val="105"/>
          <w:sz w:val="24"/>
          <w:szCs w:val="24"/>
        </w:rPr>
        <w:t xml:space="preserve">permanentes, toda vez que en la tabla y B) se trata de un perjuicio ya producido, mientras que en las </w:t>
      </w:r>
      <w:r w:rsidRPr="001E438D">
        <w:rPr>
          <w:rStyle w:val="CharacterStyle1"/>
          <w:spacing w:val="3"/>
          <w:w w:val="105"/>
          <w:sz w:val="24"/>
          <w:szCs w:val="24"/>
        </w:rPr>
        <w:t xml:space="preserve">tablas II y IV se trata de daños futuros que deben ser probados mediante valoraciones de carácter </w:t>
      </w:r>
      <w:r w:rsidRPr="001E438D">
        <w:rPr>
          <w:rStyle w:val="CharacterStyle1"/>
          <w:spacing w:val="6"/>
          <w:w w:val="105"/>
          <w:sz w:val="24"/>
          <w:szCs w:val="24"/>
        </w:rPr>
        <w:t xml:space="preserve">prospectivo. Así, durante la baja médica, al tratarse de un periodo acotado en el tiempo, lo lógico </w:t>
      </w:r>
      <w:r w:rsidRPr="001E438D">
        <w:rPr>
          <w:rStyle w:val="CharacterStyle1"/>
          <w:spacing w:val="4"/>
          <w:w w:val="105"/>
          <w:sz w:val="24"/>
          <w:szCs w:val="24"/>
        </w:rPr>
        <w:t>sería atender al importe real de los ingresos dejados de percibir por el lesionado durante el mismo.</w:t>
      </w:r>
    </w:p>
    <w:p w:rsidR="00797717" w:rsidRPr="001E438D" w:rsidRDefault="00797717" w:rsidP="001E438D">
      <w:pPr>
        <w:pStyle w:val="Style1"/>
        <w:kinsoku w:val="0"/>
        <w:autoSpaceDE/>
        <w:autoSpaceDN/>
        <w:adjustRightInd/>
        <w:spacing w:before="108" w:line="360" w:lineRule="auto"/>
        <w:jc w:val="both"/>
        <w:rPr>
          <w:rStyle w:val="CharacterStyle1"/>
          <w:spacing w:val="4"/>
          <w:w w:val="105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4"/>
          <w:w w:val="105"/>
          <w:sz w:val="24"/>
          <w:szCs w:val="24"/>
        </w:rPr>
      </w:pPr>
      <w:r w:rsidRPr="001E438D">
        <w:rPr>
          <w:rStyle w:val="CharacterStyle1"/>
          <w:spacing w:val="5"/>
          <w:w w:val="105"/>
          <w:sz w:val="24"/>
          <w:szCs w:val="24"/>
        </w:rPr>
        <w:t xml:space="preserve">Lo cierto es que este argumento subyace en la declaración de inconstitucionalidad de la Tabla V B) </w:t>
      </w:r>
      <w:r w:rsidRPr="001E438D">
        <w:rPr>
          <w:rStyle w:val="CharacterStyle1"/>
          <w:spacing w:val="6"/>
          <w:w w:val="105"/>
          <w:sz w:val="24"/>
          <w:szCs w:val="24"/>
        </w:rPr>
        <w:t xml:space="preserve">fuera de los supuestos de responsabilidad objetiva o por riesgo, acordando la SIC 181/2000, de 29 </w:t>
      </w:r>
      <w:r w:rsidRPr="001E438D">
        <w:rPr>
          <w:rStyle w:val="CharacterStyle1"/>
          <w:spacing w:val="5"/>
          <w:w w:val="105"/>
          <w:sz w:val="24"/>
          <w:szCs w:val="24"/>
        </w:rPr>
        <w:t xml:space="preserve">de junio (LA LEY 134400/2000), que cuando exista culpa relevante y jurídicamente declarada del </w:t>
      </w:r>
      <w:r w:rsidRPr="001E438D">
        <w:rPr>
          <w:rStyle w:val="CharacterStyle1"/>
          <w:w w:val="105"/>
          <w:sz w:val="24"/>
          <w:szCs w:val="24"/>
        </w:rPr>
        <w:t xml:space="preserve">conductor responsable, el resarcimiento del lucro cesante durante el proceso de curación (periodo de </w:t>
      </w:r>
      <w:r w:rsidRPr="001E438D">
        <w:rPr>
          <w:rStyle w:val="CharacterStyle1"/>
          <w:spacing w:val="4"/>
          <w:w w:val="105"/>
          <w:sz w:val="24"/>
          <w:szCs w:val="24"/>
        </w:rPr>
        <w:t>incapacidad temporal) será de la totalidad de los ingresos dejados de percibir por el lesionado</w:t>
      </w:r>
      <w:r w:rsidR="00797717">
        <w:rPr>
          <w:rStyle w:val="CharacterStyle1"/>
          <w:spacing w:val="4"/>
          <w:w w:val="105"/>
          <w:sz w:val="24"/>
          <w:szCs w:val="24"/>
        </w:rPr>
        <w:t>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4"/>
          <w:w w:val="105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2"/>
          <w:w w:val="105"/>
          <w:sz w:val="24"/>
          <w:szCs w:val="24"/>
        </w:rPr>
      </w:pPr>
      <w:r w:rsidRPr="001E438D">
        <w:rPr>
          <w:rStyle w:val="CharacterStyle1"/>
          <w:spacing w:val="5"/>
          <w:w w:val="105"/>
          <w:sz w:val="24"/>
          <w:szCs w:val="24"/>
        </w:rPr>
        <w:t xml:space="preserve">Así las cosas, se plantea el problema de determinar el criterio a seguir cuando el lesionado está en </w:t>
      </w:r>
      <w:r w:rsidRPr="001E438D">
        <w:rPr>
          <w:rStyle w:val="CharacterStyle1"/>
          <w:spacing w:val="6"/>
          <w:w w:val="105"/>
          <w:sz w:val="24"/>
          <w:szCs w:val="24"/>
        </w:rPr>
        <w:t xml:space="preserve">edad laboral pero no acredita ingresos. La Tabla V, por lesiones permanentes, no incluye la nota al pie incorporada a las tablas II y IV (relativas a los factores de corrección </w:t>
      </w:r>
      <w:r w:rsidRPr="001E438D">
        <w:rPr>
          <w:rStyle w:val="CharacterStyle1"/>
          <w:spacing w:val="6"/>
          <w:w w:val="105"/>
          <w:sz w:val="24"/>
          <w:szCs w:val="24"/>
        </w:rPr>
        <w:lastRenderedPageBreak/>
        <w:t xml:space="preserve">para la indemnizaciones </w:t>
      </w:r>
      <w:r w:rsidRPr="001E438D">
        <w:rPr>
          <w:rStyle w:val="CharacterStyle1"/>
          <w:spacing w:val="5"/>
          <w:w w:val="105"/>
          <w:sz w:val="24"/>
          <w:szCs w:val="24"/>
        </w:rPr>
        <w:t xml:space="preserve">básica por muerte y por lesiones permanentes respectivamente) a los efectos de aplicar el factor </w:t>
      </w:r>
      <w:r w:rsidRPr="001E438D">
        <w:rPr>
          <w:rStyle w:val="CharacterStyle1"/>
          <w:spacing w:val="9"/>
          <w:w w:val="105"/>
          <w:sz w:val="24"/>
          <w:szCs w:val="24"/>
        </w:rPr>
        <w:t xml:space="preserve">corrector por perjuicios económicos a todo aquel que se encuentre en edad laboral aunque no </w:t>
      </w:r>
      <w:r w:rsidRPr="001E438D">
        <w:rPr>
          <w:rStyle w:val="CharacterStyle1"/>
          <w:spacing w:val="2"/>
          <w:w w:val="105"/>
          <w:sz w:val="24"/>
          <w:szCs w:val="24"/>
        </w:rPr>
        <w:t>acredite ingresos.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2"/>
          <w:w w:val="105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3"/>
          <w:w w:val="105"/>
          <w:sz w:val="24"/>
          <w:szCs w:val="24"/>
        </w:rPr>
      </w:pPr>
      <w:r w:rsidRPr="001E438D">
        <w:rPr>
          <w:rStyle w:val="CharacterStyle1"/>
          <w:spacing w:val="6"/>
          <w:w w:val="105"/>
          <w:sz w:val="24"/>
          <w:szCs w:val="24"/>
        </w:rPr>
        <w:t>La Sal</w:t>
      </w:r>
      <w:r w:rsidR="00797717">
        <w:rPr>
          <w:rStyle w:val="CharacterStyle1"/>
          <w:spacing w:val="6"/>
          <w:w w:val="105"/>
          <w:sz w:val="24"/>
          <w:szCs w:val="24"/>
        </w:rPr>
        <w:t xml:space="preserve">a 1ª </w:t>
      </w:r>
      <w:r w:rsidRPr="001E438D">
        <w:rPr>
          <w:rStyle w:val="CharacterStyle1"/>
          <w:spacing w:val="6"/>
          <w:w w:val="105"/>
          <w:sz w:val="24"/>
          <w:szCs w:val="24"/>
        </w:rPr>
        <w:t xml:space="preserve">del Tribunal Supremo interpreta este vacío normativo en las Sentencias de fecha 20 de </w:t>
      </w:r>
      <w:r w:rsidRPr="001E438D">
        <w:rPr>
          <w:rStyle w:val="CharacterStyle1"/>
          <w:spacing w:val="3"/>
          <w:w w:val="105"/>
          <w:sz w:val="24"/>
          <w:szCs w:val="24"/>
        </w:rPr>
        <w:t xml:space="preserve">julio de 2011 y de 18 de junio de 2009, y mantiene que, pese a que la doctrina establecida por las </w:t>
      </w:r>
      <w:r w:rsidRPr="001E438D">
        <w:rPr>
          <w:rStyle w:val="CharacterStyle1"/>
          <w:spacing w:val="1"/>
          <w:w w:val="105"/>
          <w:sz w:val="24"/>
          <w:szCs w:val="24"/>
        </w:rPr>
        <w:t xml:space="preserve">Audiencias Provinciales suele exigir, para que proceda la aplicación del factor corrector a las lesiones </w:t>
      </w:r>
      <w:r w:rsidRPr="001E438D">
        <w:rPr>
          <w:rStyle w:val="CharacterStyle1"/>
          <w:spacing w:val="3"/>
          <w:w w:val="105"/>
          <w:sz w:val="24"/>
          <w:szCs w:val="24"/>
        </w:rPr>
        <w:t xml:space="preserve">temporales, que se acredite que el lesionado estaba realizando actividad laboral en el momento del </w:t>
      </w:r>
      <w:r w:rsidRPr="001E438D">
        <w:rPr>
          <w:rStyle w:val="CharacterStyle1"/>
          <w:spacing w:val="10"/>
          <w:w w:val="105"/>
          <w:sz w:val="24"/>
          <w:szCs w:val="24"/>
        </w:rPr>
        <w:t xml:space="preserve">siniestro, así como los concretos ingresos derivados de la misma, la falta de prueba sobre la </w:t>
      </w:r>
      <w:r w:rsidRPr="001E438D">
        <w:rPr>
          <w:rStyle w:val="CharacterStyle1"/>
          <w:spacing w:val="6"/>
          <w:w w:val="105"/>
          <w:sz w:val="24"/>
          <w:szCs w:val="24"/>
        </w:rPr>
        <w:t xml:space="preserve">existencia de tales ingresos no significa que no se conceda el factor sino que su aplicación debe </w:t>
      </w:r>
      <w:r w:rsidRPr="001E438D">
        <w:rPr>
          <w:rStyle w:val="CharacterStyle1"/>
          <w:spacing w:val="3"/>
          <w:w w:val="105"/>
          <w:sz w:val="24"/>
          <w:szCs w:val="24"/>
        </w:rPr>
        <w:t>realizarse siempre en su tramo inferior (hasta un lO%)</w:t>
      </w:r>
      <w:r w:rsidR="00797717">
        <w:rPr>
          <w:rStyle w:val="CharacterStyle1"/>
          <w:spacing w:val="3"/>
          <w:w w:val="105"/>
          <w:sz w:val="24"/>
          <w:szCs w:val="24"/>
        </w:rPr>
        <w:t>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spacing w:val="3"/>
          <w:w w:val="105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iCs/>
          <w:spacing w:val="8"/>
          <w:sz w:val="24"/>
          <w:szCs w:val="24"/>
        </w:rPr>
      </w:pPr>
      <w:r w:rsidRPr="001E438D">
        <w:rPr>
          <w:rStyle w:val="CharacterStyle1"/>
          <w:spacing w:val="3"/>
          <w:w w:val="105"/>
          <w:sz w:val="24"/>
          <w:szCs w:val="24"/>
        </w:rPr>
        <w:t xml:space="preserve">En este mismo sentido, la STS de 6/6/2014 afirma: </w:t>
      </w:r>
      <w:r w:rsidRPr="001E438D">
        <w:rPr>
          <w:rStyle w:val="CharacterStyle1"/>
          <w:iCs/>
          <w:spacing w:val="13"/>
          <w:sz w:val="24"/>
          <w:szCs w:val="24"/>
        </w:rPr>
        <w:t xml:space="preserve">«las </w:t>
      </w:r>
      <w:r w:rsidRPr="001E438D">
        <w:rPr>
          <w:rStyle w:val="CharacterStyle1"/>
          <w:spacing w:val="3"/>
          <w:w w:val="105"/>
          <w:sz w:val="24"/>
          <w:szCs w:val="24"/>
        </w:rPr>
        <w:t xml:space="preserve">SSTS de 30 de abril de 2012; 20 de julio de </w:t>
      </w:r>
      <w:r w:rsidRPr="001E438D">
        <w:rPr>
          <w:rStyle w:val="CharacterStyle1"/>
          <w:iCs/>
          <w:spacing w:val="15"/>
          <w:sz w:val="24"/>
          <w:szCs w:val="24"/>
        </w:rPr>
        <w:t xml:space="preserve">2011 </w:t>
      </w:r>
      <w:r w:rsidRPr="001E438D">
        <w:rPr>
          <w:rStyle w:val="CharacterStyle1"/>
          <w:iCs/>
          <w:spacing w:val="5"/>
          <w:w w:val="95"/>
          <w:sz w:val="24"/>
          <w:szCs w:val="24"/>
          <w:vertAlign w:val="subscript"/>
        </w:rPr>
        <w:t>y</w:t>
      </w:r>
      <w:r w:rsidRPr="001E438D">
        <w:rPr>
          <w:rStyle w:val="CharacterStyle1"/>
          <w:iCs/>
          <w:spacing w:val="15"/>
          <w:sz w:val="24"/>
          <w:szCs w:val="24"/>
        </w:rPr>
        <w:t xml:space="preserve"> 18 de junio de 2009, han establecido como doctrina que la razón de analogía sustenta la </w:t>
      </w:r>
      <w:r w:rsidRPr="001E438D">
        <w:rPr>
          <w:rStyle w:val="CharacterStyle1"/>
          <w:iCs/>
          <w:spacing w:val="10"/>
          <w:sz w:val="24"/>
          <w:szCs w:val="24"/>
        </w:rPr>
        <w:t xml:space="preserve">aplicación a los días del baja del factor de corrección en el grado mínimo de la escala correspondiente </w:t>
      </w:r>
      <w:r w:rsidRPr="001E438D">
        <w:rPr>
          <w:rStyle w:val="CharacterStyle1"/>
          <w:iCs/>
          <w:spacing w:val="13"/>
          <w:sz w:val="24"/>
          <w:szCs w:val="24"/>
        </w:rPr>
        <w:t xml:space="preserve">al factor de corrección por perjuicios económicos en caso de lesiones permanentes (Tabla IV del </w:t>
      </w:r>
      <w:r w:rsidRPr="001E438D">
        <w:rPr>
          <w:rStyle w:val="CharacterStyle1"/>
          <w:iCs/>
          <w:spacing w:val="6"/>
          <w:sz w:val="24"/>
          <w:szCs w:val="24"/>
        </w:rPr>
        <w:t xml:space="preserve">Anexo LRCSVM (LA LEY 145912004)) respecto de la víctima en edad laboral que no acredita ingresos, </w:t>
      </w:r>
      <w:r w:rsidRPr="001E438D">
        <w:rPr>
          <w:rStyle w:val="CharacterStyle1"/>
          <w:iCs/>
          <w:spacing w:val="9"/>
          <w:sz w:val="24"/>
          <w:szCs w:val="24"/>
        </w:rPr>
        <w:t xml:space="preserve">analogía que, sin embargo, no justifica que el porcentaje aplicado deba ser el máximo correspondiente a dicho grado, sino que cabe que el tribunal, valorando las circunstancias concurrentes en el caso </w:t>
      </w:r>
      <w:r w:rsidRPr="001E438D">
        <w:rPr>
          <w:rStyle w:val="CharacterStyle1"/>
          <w:iCs/>
          <w:spacing w:val="18"/>
          <w:sz w:val="24"/>
          <w:szCs w:val="24"/>
        </w:rPr>
        <w:t xml:space="preserve">examinado y los perjuicios económicos de diversa índole que puedan presumirse o haberse </w:t>
      </w:r>
      <w:r w:rsidRPr="001E438D">
        <w:rPr>
          <w:rStyle w:val="CharacterStyle1"/>
          <w:iCs/>
          <w:spacing w:val="7"/>
          <w:sz w:val="24"/>
          <w:szCs w:val="24"/>
        </w:rPr>
        <w:t xml:space="preserve">acreditado, en aras del principio de </w:t>
      </w:r>
      <w:r w:rsidRPr="001E438D">
        <w:rPr>
          <w:rStyle w:val="CharacterStyle1"/>
          <w:iCs/>
          <w:spacing w:val="7"/>
          <w:sz w:val="24"/>
          <w:szCs w:val="24"/>
        </w:rPr>
        <w:lastRenderedPageBreak/>
        <w:t xml:space="preserve">total indemnidad de los daños causados consagrado en la Anexo </w:t>
      </w:r>
      <w:r w:rsidRPr="001E438D">
        <w:rPr>
          <w:rStyle w:val="CharacterStyle1"/>
          <w:iCs/>
          <w:spacing w:val="13"/>
          <w:sz w:val="24"/>
          <w:szCs w:val="24"/>
        </w:rPr>
        <w:t xml:space="preserve">primero, 7, en el que inspira el Sistema de valoración de los daños y perjuicios causados a las </w:t>
      </w:r>
      <w:r w:rsidRPr="001E438D">
        <w:rPr>
          <w:rStyle w:val="CharacterStyle1"/>
          <w:iCs/>
          <w:spacing w:val="9"/>
          <w:sz w:val="24"/>
          <w:szCs w:val="24"/>
        </w:rPr>
        <w:t xml:space="preserve">personas en accidentes de circulación, conceda un porcentaje inferior, dado que el señalado por la </w:t>
      </w:r>
      <w:r w:rsidRPr="001E438D">
        <w:rPr>
          <w:rStyle w:val="CharacterStyle1"/>
          <w:iCs/>
          <w:spacing w:val="10"/>
          <w:sz w:val="24"/>
          <w:szCs w:val="24"/>
        </w:rPr>
        <w:t xml:space="preserve">LRCSVM (LA LEY 145912004) tiene carácter máximo ("hasta el 10%") y no se establece limitación </w:t>
      </w:r>
      <w:r w:rsidRPr="001E438D">
        <w:rPr>
          <w:rStyle w:val="CharacterStyle1"/>
          <w:iCs/>
          <w:spacing w:val="8"/>
          <w:sz w:val="24"/>
          <w:szCs w:val="24"/>
        </w:rPr>
        <w:t>alguna dentro del abanico fijado por el legislador».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iCs/>
          <w:spacing w:val="8"/>
          <w:sz w:val="24"/>
          <w:szCs w:val="24"/>
        </w:rPr>
      </w:pPr>
    </w:p>
    <w:p w:rsidR="001E438D" w:rsidRDefault="001E438D" w:rsidP="001E438D">
      <w:pPr>
        <w:pStyle w:val="Style2"/>
        <w:kinsoku w:val="0"/>
        <w:autoSpaceDE/>
        <w:autoSpaceDN/>
        <w:spacing w:line="360" w:lineRule="auto"/>
        <w:rPr>
          <w:rStyle w:val="CharacterStyle1"/>
          <w:iCs/>
          <w:spacing w:val="9"/>
          <w:sz w:val="24"/>
          <w:szCs w:val="24"/>
        </w:rPr>
      </w:pPr>
      <w:r w:rsidRPr="001E438D">
        <w:rPr>
          <w:rStyle w:val="CharacterStyle1"/>
          <w:spacing w:val="6"/>
          <w:w w:val="105"/>
          <w:sz w:val="24"/>
          <w:szCs w:val="24"/>
        </w:rPr>
        <w:t xml:space="preserve">En este mismo sentido, la STS de 26/2/11 afirma que la mera circunstancia acreditada en autos de </w:t>
      </w:r>
      <w:r w:rsidRPr="001E438D">
        <w:rPr>
          <w:rStyle w:val="CharacterStyle1"/>
          <w:spacing w:val="1"/>
          <w:w w:val="105"/>
          <w:sz w:val="24"/>
          <w:szCs w:val="24"/>
        </w:rPr>
        <w:t xml:space="preserve">que el actor se encontraba en edad laboral cuando ocurrió el accidente justifica el reconocimiento del </w:t>
      </w:r>
      <w:r w:rsidRPr="001E438D">
        <w:rPr>
          <w:rStyle w:val="CharacterStyle1"/>
          <w:spacing w:val="4"/>
          <w:w w:val="105"/>
          <w:sz w:val="24"/>
          <w:szCs w:val="24"/>
        </w:rPr>
        <w:t xml:space="preserve">derecho a que la indemnización básica por la incapacidad temporal sea incrementada con el factor </w:t>
      </w:r>
      <w:r w:rsidRPr="001E438D">
        <w:rPr>
          <w:rStyle w:val="CharacterStyle1"/>
          <w:iCs/>
          <w:spacing w:val="14"/>
          <w:sz w:val="24"/>
          <w:szCs w:val="24"/>
        </w:rPr>
        <w:t xml:space="preserve">corrector por perjuicios económicos, aun cuando no lograra probar de forma concreta sus ingresos, </w:t>
      </w:r>
      <w:r w:rsidRPr="001E438D">
        <w:rPr>
          <w:rStyle w:val="CharacterStyle1"/>
          <w:iCs/>
          <w:spacing w:val="16"/>
          <w:sz w:val="24"/>
          <w:szCs w:val="24"/>
        </w:rPr>
        <w:t xml:space="preserve">pues esta circunstancia solo se valora por esta Sala como razón para considerar suficiente y </w:t>
      </w:r>
      <w:r w:rsidRPr="001E438D">
        <w:rPr>
          <w:rStyle w:val="CharacterStyle1"/>
          <w:iCs/>
          <w:spacing w:val="9"/>
          <w:sz w:val="24"/>
          <w:szCs w:val="24"/>
        </w:rPr>
        <w:t>proporcionado el p</w:t>
      </w:r>
      <w:r w:rsidR="00797717">
        <w:rPr>
          <w:rStyle w:val="CharacterStyle1"/>
          <w:iCs/>
          <w:spacing w:val="9"/>
          <w:sz w:val="24"/>
          <w:szCs w:val="24"/>
        </w:rPr>
        <w:t>orcentaje de incremento del lO%.</w:t>
      </w:r>
    </w:p>
    <w:p w:rsidR="00797717" w:rsidRPr="001E438D" w:rsidRDefault="00797717" w:rsidP="001E438D">
      <w:pPr>
        <w:pStyle w:val="Style2"/>
        <w:kinsoku w:val="0"/>
        <w:autoSpaceDE/>
        <w:autoSpaceDN/>
        <w:spacing w:line="360" w:lineRule="auto"/>
        <w:rPr>
          <w:rStyle w:val="CharacterStyle1"/>
          <w:iCs/>
          <w:spacing w:val="9"/>
          <w:sz w:val="24"/>
          <w:szCs w:val="24"/>
        </w:rPr>
      </w:pPr>
    </w:p>
    <w:p w:rsidR="001E438D" w:rsidRPr="001E438D" w:rsidRDefault="001E438D" w:rsidP="001E438D">
      <w:pPr>
        <w:pStyle w:val="Style1"/>
        <w:kinsoku w:val="0"/>
        <w:autoSpaceDE/>
        <w:autoSpaceDN/>
        <w:adjustRightInd/>
        <w:spacing w:before="108" w:line="360" w:lineRule="auto"/>
        <w:jc w:val="both"/>
        <w:rPr>
          <w:rStyle w:val="CharacterStyle2"/>
          <w:rFonts w:ascii="Arial" w:hAnsi="Arial" w:cs="Arial"/>
          <w:spacing w:val="3"/>
          <w:w w:val="105"/>
          <w:sz w:val="24"/>
          <w:szCs w:val="24"/>
        </w:rPr>
      </w:pPr>
      <w:r w:rsidRPr="001E438D">
        <w:rPr>
          <w:rStyle w:val="CharacterStyle2"/>
          <w:rFonts w:ascii="Arial" w:hAnsi="Arial" w:cs="Arial"/>
          <w:spacing w:val="10"/>
          <w:w w:val="105"/>
          <w:sz w:val="24"/>
          <w:szCs w:val="24"/>
        </w:rPr>
        <w:t>En el resto de supuestos, procederá valorar el citado porcentaje atendiendo a las circunstancias</w:t>
      </w:r>
      <w:r>
        <w:rPr>
          <w:rStyle w:val="CharacterStyle2"/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1E438D">
        <w:rPr>
          <w:rStyle w:val="CharacterStyle2"/>
          <w:rFonts w:ascii="Arial" w:hAnsi="Arial" w:cs="Arial"/>
          <w:spacing w:val="8"/>
          <w:w w:val="105"/>
          <w:sz w:val="24"/>
          <w:szCs w:val="24"/>
        </w:rPr>
        <w:t>concurrentes en el concreto caso de que se trate, examinado los perjuicios económicos de diversa</w:t>
      </w:r>
      <w:r>
        <w:rPr>
          <w:rStyle w:val="CharacterStyle2"/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1E438D">
        <w:rPr>
          <w:rStyle w:val="CharacterStyle2"/>
          <w:rFonts w:ascii="Arial" w:hAnsi="Arial" w:cs="Arial"/>
          <w:spacing w:val="4"/>
          <w:w w:val="105"/>
          <w:sz w:val="24"/>
          <w:szCs w:val="24"/>
        </w:rPr>
        <w:t>índole que se hayan acreditado o puedan presumirse, en aras del principio de total indemnidad de los</w:t>
      </w:r>
      <w:r>
        <w:rPr>
          <w:rStyle w:val="CharacterStyle2"/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17511F" w:rsidRPr="0017511F"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0;margin-top:777.6pt;width:544.65pt;height:9.85pt;z-index:251662336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inset="0,0,0,0">
              <w:txbxContent>
                <w:p w:rsidR="001E438D" w:rsidRDefault="001E438D" w:rsidP="001E438D">
                  <w:pPr>
                    <w:pStyle w:val="Style5"/>
                    <w:kinsoku w:val="0"/>
                    <w:autoSpaceDE/>
                    <w:autoSpaceDN/>
                    <w:rPr>
                      <w:rStyle w:val="CharacterStyle3"/>
                      <w:w w:val="115"/>
                    </w:rPr>
                  </w:pPr>
                  <w:r>
                    <w:rPr>
                      <w:rStyle w:val="CharacterStyle3"/>
                      <w:w w:val="115"/>
                    </w:rPr>
                    <w:t>3/3</w:t>
                  </w:r>
                </w:p>
              </w:txbxContent>
            </v:textbox>
            <w10:wrap type="square"/>
          </v:shape>
        </w:pict>
      </w:r>
      <w:r w:rsidRPr="001E438D">
        <w:rPr>
          <w:rStyle w:val="CharacterStyle3"/>
          <w:rFonts w:ascii="Arial" w:hAnsi="Arial" w:cs="Arial"/>
          <w:spacing w:val="2"/>
          <w:w w:val="115"/>
          <w:sz w:val="24"/>
          <w:szCs w:val="24"/>
        </w:rPr>
        <w:t>daños, teniendo en cuenta que no se establece limitación alguna dentro del abanico «hasta el 10%» fijado por el legislador.</w:t>
      </w:r>
      <w:r w:rsidRPr="001E438D">
        <w:rPr>
          <w:rStyle w:val="CharacterStyle2"/>
          <w:rFonts w:ascii="Arial" w:hAnsi="Arial" w:cs="Arial"/>
          <w:bCs/>
          <w:w w:val="105"/>
          <w:sz w:val="24"/>
          <w:szCs w:val="24"/>
        </w:rPr>
        <w:t xml:space="preserve"> </w:t>
      </w:r>
      <w:r w:rsidRPr="001E438D">
        <w:rPr>
          <w:rStyle w:val="CharacterStyle2"/>
          <w:rFonts w:ascii="Arial" w:hAnsi="Arial" w:cs="Arial"/>
          <w:w w:val="105"/>
          <w:sz w:val="24"/>
          <w:szCs w:val="24"/>
        </w:rPr>
        <w:t>Toral Lara, Estrella</w:t>
      </w:r>
      <w:r w:rsidRPr="001E438D">
        <w:rPr>
          <w:rStyle w:val="CharacterStyle2"/>
          <w:rFonts w:ascii="Arial" w:hAnsi="Arial" w:cs="Arial"/>
          <w:w w:val="105"/>
          <w:sz w:val="24"/>
          <w:szCs w:val="24"/>
        </w:rPr>
        <w:br/>
      </w:r>
      <w:r w:rsidRPr="001E438D">
        <w:rPr>
          <w:rStyle w:val="CharacterStyle2"/>
          <w:rFonts w:ascii="Arial" w:hAnsi="Arial" w:cs="Arial"/>
          <w:spacing w:val="3"/>
          <w:w w:val="105"/>
          <w:sz w:val="24"/>
          <w:szCs w:val="24"/>
        </w:rPr>
        <w:t>Práctica de Derecho de Daños</w:t>
      </w:r>
      <w:r w:rsidR="00797717">
        <w:rPr>
          <w:rStyle w:val="CharacterStyle2"/>
          <w:rFonts w:ascii="Arial" w:hAnsi="Arial" w:cs="Arial"/>
          <w:spacing w:val="3"/>
          <w:w w:val="105"/>
          <w:sz w:val="24"/>
          <w:szCs w:val="24"/>
        </w:rPr>
        <w:t>.</w:t>
      </w:r>
    </w:p>
    <w:p w:rsidR="001E438D" w:rsidRDefault="001E438D" w:rsidP="001E438D">
      <w:pPr>
        <w:pStyle w:val="Style4"/>
        <w:kinsoku w:val="0"/>
        <w:autoSpaceDE/>
        <w:autoSpaceDN/>
        <w:ind w:left="0" w:right="0"/>
        <w:rPr>
          <w:rStyle w:val="CharacterStyle3"/>
          <w:spacing w:val="2"/>
          <w:w w:val="115"/>
        </w:rPr>
      </w:pPr>
    </w:p>
    <w:p w:rsidR="004C1C76" w:rsidRPr="00451F0E" w:rsidRDefault="004C1C76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451F0E" w:rsidRDefault="00451F0E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157604" w:rsidRDefault="0015760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157604" w:rsidRDefault="0015760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157604" w:rsidRDefault="0015760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157604" w:rsidRDefault="0015760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157604" w:rsidRDefault="0015760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157604" w:rsidRDefault="0015760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157604" w:rsidRDefault="0015760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157604" w:rsidRPr="00451F0E" w:rsidRDefault="0015760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447F11" w:rsidRPr="00451F0E" w:rsidRDefault="00EF42E4" w:rsidP="001E438D">
      <w:pPr>
        <w:spacing w:line="360" w:lineRule="auto"/>
        <w:jc w:val="both"/>
        <w:rPr>
          <w:rFonts w:ascii="Arial" w:hAnsi="Arial" w:cs="Arial"/>
          <w:b/>
        </w:rPr>
      </w:pPr>
      <w:r w:rsidRPr="00451F0E">
        <w:rPr>
          <w:rFonts w:ascii="Arial" w:hAnsi="Arial" w:cs="Arial"/>
          <w:b/>
          <w:noProof/>
        </w:rPr>
        <w:drawing>
          <wp:inline distT="0" distB="0" distL="0" distR="0">
            <wp:extent cx="5394960" cy="4226560"/>
            <wp:effectExtent l="19050" t="0" r="0" b="0"/>
            <wp:docPr id="14" name="Imagen 6" descr="C:\Users\Alfredo\Dropbox\artículos para la web JUNIO 2015\fotos definitivas\abogados en ovied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redo\Dropbox\artículos para la web JUNIO 2015\fotos definitivas\abogados en oviedo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1" cy="42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E4" w:rsidRPr="00451F0E" w:rsidRDefault="00EF42E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EF42E4" w:rsidRPr="00451F0E" w:rsidRDefault="00EF42E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EF42E4" w:rsidRPr="00451F0E" w:rsidRDefault="00EF42E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EF42E4" w:rsidRPr="00451F0E" w:rsidRDefault="00EF42E4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005AFB" w:rsidRPr="00451F0E" w:rsidRDefault="00005AFB" w:rsidP="001E438D">
      <w:pPr>
        <w:spacing w:line="360" w:lineRule="auto"/>
        <w:jc w:val="both"/>
        <w:rPr>
          <w:rFonts w:ascii="Arial" w:hAnsi="Arial" w:cs="Arial"/>
          <w:b/>
        </w:rPr>
      </w:pPr>
    </w:p>
    <w:p w:rsidR="00D02291" w:rsidRPr="00451F0E" w:rsidRDefault="00D02291" w:rsidP="001E438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sectPr w:rsidR="00D02291" w:rsidRPr="00451F0E" w:rsidSect="009638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D14" w:rsidRDefault="00843D14">
      <w:r>
        <w:separator/>
      </w:r>
    </w:p>
  </w:endnote>
  <w:endnote w:type="continuationSeparator" w:id="0">
    <w:p w:rsidR="00843D14" w:rsidRDefault="0084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17511F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17511F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285A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875f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D14" w:rsidRDefault="00843D14">
      <w:r>
        <w:separator/>
      </w:r>
    </w:p>
  </w:footnote>
  <w:footnote w:type="continuationSeparator" w:id="0">
    <w:p w:rsidR="00843D14" w:rsidRDefault="00843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17511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17511F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17511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7AEB"/>
    <w:multiLevelType w:val="singleLevel"/>
    <w:tmpl w:val="377CC275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4"/>
        <w:sz w:val="19"/>
        <w:szCs w:val="19"/>
      </w:rPr>
    </w:lvl>
  </w:abstractNum>
  <w:abstractNum w:abstractNumId="1">
    <w:nsid w:val="0217C6F5"/>
    <w:multiLevelType w:val="singleLevel"/>
    <w:tmpl w:val="0EC5EBC5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5"/>
        <w:sz w:val="19"/>
        <w:szCs w:val="19"/>
      </w:rPr>
    </w:lvl>
  </w:abstractNum>
  <w:abstractNum w:abstractNumId="2">
    <w:nsid w:val="0345B92B"/>
    <w:multiLevelType w:val="singleLevel"/>
    <w:tmpl w:val="17D9FA12"/>
    <w:lvl w:ilvl="0">
      <w:start w:val="3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2"/>
        <w:sz w:val="19"/>
        <w:szCs w:val="19"/>
      </w:rPr>
    </w:lvl>
  </w:abstractNum>
  <w:abstractNum w:abstractNumId="3">
    <w:nsid w:val="0358312E"/>
    <w:multiLevelType w:val="singleLevel"/>
    <w:tmpl w:val="5FBEF9D8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4"/>
        <w:sz w:val="19"/>
        <w:szCs w:val="19"/>
      </w:rPr>
    </w:lvl>
  </w:abstractNum>
  <w:abstractNum w:abstractNumId="4">
    <w:nsid w:val="04864154"/>
    <w:multiLevelType w:val="singleLevel"/>
    <w:tmpl w:val="6024EB40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i/>
        <w:iCs/>
        <w:snapToGrid/>
        <w:spacing w:val="4"/>
        <w:sz w:val="20"/>
        <w:szCs w:val="20"/>
      </w:rPr>
    </w:lvl>
  </w:abstractNum>
  <w:abstractNum w:abstractNumId="5">
    <w:nsid w:val="059A1D23"/>
    <w:multiLevelType w:val="singleLevel"/>
    <w:tmpl w:val="436F4730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6"/>
        <w:sz w:val="19"/>
        <w:szCs w:val="19"/>
      </w:rPr>
    </w:lvl>
  </w:abstractNum>
  <w:abstractNum w:abstractNumId="6">
    <w:nsid w:val="05BD8059"/>
    <w:multiLevelType w:val="singleLevel"/>
    <w:tmpl w:val="24C91811"/>
    <w:lvl w:ilvl="0">
      <w:start w:val="1"/>
      <w:numFmt w:val="upperLetter"/>
      <w:lvlText w:val="%1)"/>
      <w:lvlJc w:val="left"/>
      <w:pPr>
        <w:tabs>
          <w:tab w:val="num" w:pos="288"/>
        </w:tabs>
        <w:ind w:left="936"/>
      </w:pPr>
      <w:rPr>
        <w:rFonts w:ascii="Arial" w:hAnsi="Arial" w:cs="Arial"/>
        <w:i/>
        <w:iCs/>
        <w:snapToGrid/>
        <w:spacing w:val="5"/>
        <w:sz w:val="20"/>
        <w:szCs w:val="20"/>
      </w:rPr>
    </w:lvl>
  </w:abstractNum>
  <w:abstractNum w:abstractNumId="7">
    <w:nsid w:val="05EE2DC1"/>
    <w:multiLevelType w:val="singleLevel"/>
    <w:tmpl w:val="5A623558"/>
    <w:lvl w:ilvl="0">
      <w:start w:val="2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i/>
        <w:iCs/>
        <w:snapToGrid/>
        <w:spacing w:val="-3"/>
        <w:sz w:val="20"/>
        <w:szCs w:val="20"/>
      </w:rPr>
    </w:lvl>
  </w:abstractNum>
  <w:abstractNum w:abstractNumId="8">
    <w:nsid w:val="065BE9FC"/>
    <w:multiLevelType w:val="singleLevel"/>
    <w:tmpl w:val="72CF9F54"/>
    <w:lvl w:ilvl="0">
      <w:start w:val="3"/>
      <w:numFmt w:val="decimal"/>
      <w:lvlText w:val="%1.-"/>
      <w:lvlJc w:val="left"/>
      <w:pPr>
        <w:tabs>
          <w:tab w:val="num" w:pos="288"/>
        </w:tabs>
        <w:ind w:left="360" w:firstLine="648"/>
      </w:pPr>
      <w:rPr>
        <w:rFonts w:ascii="Arial" w:hAnsi="Arial" w:cs="Arial"/>
        <w:snapToGrid/>
        <w:spacing w:val="6"/>
        <w:sz w:val="19"/>
        <w:szCs w:val="19"/>
      </w:rPr>
    </w:lvl>
  </w:abstractNum>
  <w:abstractNum w:abstractNumId="9">
    <w:nsid w:val="07BBD971"/>
    <w:multiLevelType w:val="singleLevel"/>
    <w:tmpl w:val="1ADBE769"/>
    <w:lvl w:ilvl="0">
      <w:start w:val="2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2"/>
        <w:sz w:val="19"/>
        <w:szCs w:val="19"/>
      </w:rPr>
    </w:lvl>
  </w:abstractNum>
  <w:abstractNum w:abstractNumId="10">
    <w:nsid w:val="088E68AD"/>
    <w:multiLevelType w:val="multilevel"/>
    <w:tmpl w:val="27C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B76126"/>
    <w:multiLevelType w:val="multilevel"/>
    <w:tmpl w:val="79A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6E3860"/>
    <w:multiLevelType w:val="multilevel"/>
    <w:tmpl w:val="DE7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724208"/>
    <w:multiLevelType w:val="multilevel"/>
    <w:tmpl w:val="FFC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6E1C31"/>
    <w:multiLevelType w:val="multilevel"/>
    <w:tmpl w:val="52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0A6B50"/>
    <w:multiLevelType w:val="multilevel"/>
    <w:tmpl w:val="6B8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B207A6"/>
    <w:multiLevelType w:val="multilevel"/>
    <w:tmpl w:val="24E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5951E4"/>
    <w:multiLevelType w:val="multilevel"/>
    <w:tmpl w:val="B3A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A84A83"/>
    <w:multiLevelType w:val="multilevel"/>
    <w:tmpl w:val="371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14846"/>
    <w:multiLevelType w:val="multilevel"/>
    <w:tmpl w:val="BE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052CC9"/>
    <w:multiLevelType w:val="multilevel"/>
    <w:tmpl w:val="9C6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D7E30"/>
    <w:multiLevelType w:val="hybridMultilevel"/>
    <w:tmpl w:val="9732CB8A"/>
    <w:lvl w:ilvl="0" w:tplc="B0264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90214C"/>
    <w:multiLevelType w:val="multilevel"/>
    <w:tmpl w:val="357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8481D"/>
    <w:multiLevelType w:val="multilevel"/>
    <w:tmpl w:val="C0A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6E376B"/>
    <w:multiLevelType w:val="multilevel"/>
    <w:tmpl w:val="683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866AFE"/>
    <w:multiLevelType w:val="multilevel"/>
    <w:tmpl w:val="21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B43929"/>
    <w:multiLevelType w:val="multilevel"/>
    <w:tmpl w:val="1DE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BA064A"/>
    <w:multiLevelType w:val="multilevel"/>
    <w:tmpl w:val="C44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E33F76"/>
    <w:multiLevelType w:val="multilevel"/>
    <w:tmpl w:val="ACD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B2AF8"/>
    <w:multiLevelType w:val="multilevel"/>
    <w:tmpl w:val="73E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101B8E"/>
    <w:multiLevelType w:val="multilevel"/>
    <w:tmpl w:val="77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CB0A0B"/>
    <w:multiLevelType w:val="multilevel"/>
    <w:tmpl w:val="D35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025F5"/>
    <w:multiLevelType w:val="multilevel"/>
    <w:tmpl w:val="C9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817312"/>
    <w:multiLevelType w:val="multilevel"/>
    <w:tmpl w:val="85B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14572D"/>
    <w:multiLevelType w:val="multilevel"/>
    <w:tmpl w:val="564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21"/>
  </w:num>
  <w:num w:numId="4">
    <w:abstractNumId w:val="27"/>
  </w:num>
  <w:num w:numId="5">
    <w:abstractNumId w:val="33"/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17"/>
  </w:num>
  <w:num w:numId="8">
    <w:abstractNumId w:val="12"/>
  </w:num>
  <w:num w:numId="9">
    <w:abstractNumId w:val="24"/>
  </w:num>
  <w:num w:numId="10">
    <w:abstractNumId w:val="20"/>
  </w:num>
  <w:num w:numId="11">
    <w:abstractNumId w:val="13"/>
  </w:num>
  <w:num w:numId="12">
    <w:abstractNumId w:val="28"/>
  </w:num>
  <w:num w:numId="13">
    <w:abstractNumId w:val="14"/>
  </w:num>
  <w:num w:numId="14">
    <w:abstractNumId w:val="15"/>
  </w:num>
  <w:num w:numId="15">
    <w:abstractNumId w:val="29"/>
  </w:num>
  <w:num w:numId="16">
    <w:abstractNumId w:val="32"/>
  </w:num>
  <w:num w:numId="17">
    <w:abstractNumId w:val="34"/>
  </w:num>
  <w:num w:numId="18">
    <w:abstractNumId w:val="36"/>
  </w:num>
  <w:num w:numId="19">
    <w:abstractNumId w:val="35"/>
  </w:num>
  <w:num w:numId="20">
    <w:abstractNumId w:val="31"/>
  </w:num>
  <w:num w:numId="21">
    <w:abstractNumId w:val="37"/>
  </w:num>
  <w:num w:numId="22">
    <w:abstractNumId w:val="11"/>
  </w:num>
  <w:num w:numId="23">
    <w:abstractNumId w:val="40"/>
  </w:num>
  <w:num w:numId="24">
    <w:abstractNumId w:val="19"/>
  </w:num>
  <w:num w:numId="25">
    <w:abstractNumId w:val="30"/>
  </w:num>
  <w:num w:numId="26">
    <w:abstractNumId w:val="39"/>
  </w:num>
  <w:num w:numId="27">
    <w:abstractNumId w:val="26"/>
  </w:num>
  <w:num w:numId="28">
    <w:abstractNumId w:val="10"/>
  </w:num>
  <w:num w:numId="29">
    <w:abstractNumId w:val="38"/>
  </w:num>
  <w:num w:numId="30">
    <w:abstractNumId w:val="22"/>
  </w:num>
  <w:num w:numId="31">
    <w:abstractNumId w:val="23"/>
  </w:num>
  <w:num w:numId="32">
    <w:abstractNumId w:val="7"/>
  </w:num>
  <w:num w:numId="33">
    <w:abstractNumId w:val="4"/>
  </w:num>
  <w:num w:numId="34">
    <w:abstractNumId w:val="6"/>
  </w:num>
  <w:num w:numId="35">
    <w:abstractNumId w:val="8"/>
  </w:num>
  <w:num w:numId="36">
    <w:abstractNumId w:val="5"/>
  </w:num>
  <w:num w:numId="37">
    <w:abstractNumId w:val="9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stylePaneFormatFilter w:val="3F01"/>
  <w:defaultTabStop w:val="708"/>
  <w:hyphenationZone w:val="425"/>
  <w:characterSpacingControl w:val="doNotCompress"/>
  <w:hdrShapeDefaults>
    <o:shapedefaults v:ext="edit" spidmax="402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0D"/>
    <w:rsid w:val="00003455"/>
    <w:rsid w:val="00005799"/>
    <w:rsid w:val="00005938"/>
    <w:rsid w:val="00005AFB"/>
    <w:rsid w:val="000063DE"/>
    <w:rsid w:val="00017DA5"/>
    <w:rsid w:val="0003072D"/>
    <w:rsid w:val="00033922"/>
    <w:rsid w:val="00033CEB"/>
    <w:rsid w:val="000362A9"/>
    <w:rsid w:val="00037D25"/>
    <w:rsid w:val="00042584"/>
    <w:rsid w:val="00044D2E"/>
    <w:rsid w:val="00046790"/>
    <w:rsid w:val="00046A79"/>
    <w:rsid w:val="00051042"/>
    <w:rsid w:val="000516A3"/>
    <w:rsid w:val="00053264"/>
    <w:rsid w:val="0005441C"/>
    <w:rsid w:val="000546BE"/>
    <w:rsid w:val="0005559E"/>
    <w:rsid w:val="00063CF8"/>
    <w:rsid w:val="00067615"/>
    <w:rsid w:val="000677B4"/>
    <w:rsid w:val="00067EEE"/>
    <w:rsid w:val="00072160"/>
    <w:rsid w:val="000743A0"/>
    <w:rsid w:val="00076312"/>
    <w:rsid w:val="00077A88"/>
    <w:rsid w:val="000825EC"/>
    <w:rsid w:val="00083E4E"/>
    <w:rsid w:val="00086F28"/>
    <w:rsid w:val="000873CF"/>
    <w:rsid w:val="000915CD"/>
    <w:rsid w:val="00096DA1"/>
    <w:rsid w:val="000A133F"/>
    <w:rsid w:val="000A6A5F"/>
    <w:rsid w:val="000B30D9"/>
    <w:rsid w:val="000C2041"/>
    <w:rsid w:val="000C22DA"/>
    <w:rsid w:val="000C337E"/>
    <w:rsid w:val="000C3873"/>
    <w:rsid w:val="000C47AE"/>
    <w:rsid w:val="000C4953"/>
    <w:rsid w:val="000D5D61"/>
    <w:rsid w:val="000D6B11"/>
    <w:rsid w:val="000E1823"/>
    <w:rsid w:val="000F1749"/>
    <w:rsid w:val="000F7844"/>
    <w:rsid w:val="0010060C"/>
    <w:rsid w:val="0010178D"/>
    <w:rsid w:val="00101CFD"/>
    <w:rsid w:val="0011301C"/>
    <w:rsid w:val="0011338B"/>
    <w:rsid w:val="001172ED"/>
    <w:rsid w:val="00117C70"/>
    <w:rsid w:val="001204C1"/>
    <w:rsid w:val="00123215"/>
    <w:rsid w:val="00124EA1"/>
    <w:rsid w:val="00126642"/>
    <w:rsid w:val="00131CFB"/>
    <w:rsid w:val="001360FD"/>
    <w:rsid w:val="00137AEE"/>
    <w:rsid w:val="00140D3C"/>
    <w:rsid w:val="00142C8E"/>
    <w:rsid w:val="0014307B"/>
    <w:rsid w:val="00143B44"/>
    <w:rsid w:val="00144AB1"/>
    <w:rsid w:val="00145211"/>
    <w:rsid w:val="00146353"/>
    <w:rsid w:val="00146577"/>
    <w:rsid w:val="0015267B"/>
    <w:rsid w:val="00153427"/>
    <w:rsid w:val="001543FF"/>
    <w:rsid w:val="00155425"/>
    <w:rsid w:val="00157604"/>
    <w:rsid w:val="00162E93"/>
    <w:rsid w:val="00163318"/>
    <w:rsid w:val="0016353A"/>
    <w:rsid w:val="00165508"/>
    <w:rsid w:val="00166951"/>
    <w:rsid w:val="00170C4A"/>
    <w:rsid w:val="00170D3F"/>
    <w:rsid w:val="001737EB"/>
    <w:rsid w:val="0017511F"/>
    <w:rsid w:val="00175CE4"/>
    <w:rsid w:val="001765E7"/>
    <w:rsid w:val="001771E6"/>
    <w:rsid w:val="00181091"/>
    <w:rsid w:val="001829D4"/>
    <w:rsid w:val="00183795"/>
    <w:rsid w:val="00185C69"/>
    <w:rsid w:val="0018755D"/>
    <w:rsid w:val="00190868"/>
    <w:rsid w:val="001949CF"/>
    <w:rsid w:val="00195325"/>
    <w:rsid w:val="001969A3"/>
    <w:rsid w:val="001A12D0"/>
    <w:rsid w:val="001A15CD"/>
    <w:rsid w:val="001A6D78"/>
    <w:rsid w:val="001B78AD"/>
    <w:rsid w:val="001C0F7E"/>
    <w:rsid w:val="001C6A86"/>
    <w:rsid w:val="001D6AB5"/>
    <w:rsid w:val="001D7106"/>
    <w:rsid w:val="001E0A4E"/>
    <w:rsid w:val="001E0D97"/>
    <w:rsid w:val="001E3E5C"/>
    <w:rsid w:val="001E438D"/>
    <w:rsid w:val="001E491C"/>
    <w:rsid w:val="001E5F6F"/>
    <w:rsid w:val="001F194A"/>
    <w:rsid w:val="001F2637"/>
    <w:rsid w:val="001F56C0"/>
    <w:rsid w:val="00202275"/>
    <w:rsid w:val="002054C7"/>
    <w:rsid w:val="00206865"/>
    <w:rsid w:val="00214BAE"/>
    <w:rsid w:val="0021672E"/>
    <w:rsid w:val="00222D9D"/>
    <w:rsid w:val="00224282"/>
    <w:rsid w:val="00225477"/>
    <w:rsid w:val="00232DFC"/>
    <w:rsid w:val="0023355F"/>
    <w:rsid w:val="00236A04"/>
    <w:rsid w:val="00241163"/>
    <w:rsid w:val="00241A9E"/>
    <w:rsid w:val="00247F1A"/>
    <w:rsid w:val="00250136"/>
    <w:rsid w:val="0025036B"/>
    <w:rsid w:val="002503E9"/>
    <w:rsid w:val="00250B2A"/>
    <w:rsid w:val="00255846"/>
    <w:rsid w:val="002661E3"/>
    <w:rsid w:val="00266FF5"/>
    <w:rsid w:val="00267153"/>
    <w:rsid w:val="00270928"/>
    <w:rsid w:val="002744D4"/>
    <w:rsid w:val="002759CE"/>
    <w:rsid w:val="00283E8B"/>
    <w:rsid w:val="00284FAC"/>
    <w:rsid w:val="002860A4"/>
    <w:rsid w:val="002863E2"/>
    <w:rsid w:val="00287D71"/>
    <w:rsid w:val="002A0150"/>
    <w:rsid w:val="002A06DB"/>
    <w:rsid w:val="002A2EE4"/>
    <w:rsid w:val="002A6352"/>
    <w:rsid w:val="002A670B"/>
    <w:rsid w:val="002B04BE"/>
    <w:rsid w:val="002B268C"/>
    <w:rsid w:val="002B4021"/>
    <w:rsid w:val="002B579C"/>
    <w:rsid w:val="002B6667"/>
    <w:rsid w:val="002B7B7F"/>
    <w:rsid w:val="002C2243"/>
    <w:rsid w:val="002C61B5"/>
    <w:rsid w:val="002D11AD"/>
    <w:rsid w:val="002D21BE"/>
    <w:rsid w:val="002D2ED2"/>
    <w:rsid w:val="002D32FE"/>
    <w:rsid w:val="002D50B8"/>
    <w:rsid w:val="002E053F"/>
    <w:rsid w:val="002F042F"/>
    <w:rsid w:val="002F0907"/>
    <w:rsid w:val="002F6D88"/>
    <w:rsid w:val="002F7B53"/>
    <w:rsid w:val="00303054"/>
    <w:rsid w:val="00303BB2"/>
    <w:rsid w:val="003067DF"/>
    <w:rsid w:val="00306DA2"/>
    <w:rsid w:val="00311908"/>
    <w:rsid w:val="003149AA"/>
    <w:rsid w:val="0031620C"/>
    <w:rsid w:val="00317A4E"/>
    <w:rsid w:val="00317CFB"/>
    <w:rsid w:val="00320289"/>
    <w:rsid w:val="00323572"/>
    <w:rsid w:val="00323FC4"/>
    <w:rsid w:val="0032491A"/>
    <w:rsid w:val="0032681D"/>
    <w:rsid w:val="00326C83"/>
    <w:rsid w:val="00331994"/>
    <w:rsid w:val="00332AC6"/>
    <w:rsid w:val="00332F1F"/>
    <w:rsid w:val="00336A68"/>
    <w:rsid w:val="003416DE"/>
    <w:rsid w:val="003458AA"/>
    <w:rsid w:val="00357DD2"/>
    <w:rsid w:val="00361A96"/>
    <w:rsid w:val="0036668D"/>
    <w:rsid w:val="00366E63"/>
    <w:rsid w:val="0036733A"/>
    <w:rsid w:val="00367EC5"/>
    <w:rsid w:val="00372666"/>
    <w:rsid w:val="00373292"/>
    <w:rsid w:val="00374027"/>
    <w:rsid w:val="00393327"/>
    <w:rsid w:val="003A1F2B"/>
    <w:rsid w:val="003A3123"/>
    <w:rsid w:val="003B28C1"/>
    <w:rsid w:val="003B5346"/>
    <w:rsid w:val="003B6C70"/>
    <w:rsid w:val="003B6FA8"/>
    <w:rsid w:val="003B70A6"/>
    <w:rsid w:val="003B736D"/>
    <w:rsid w:val="003C1F2E"/>
    <w:rsid w:val="003C242B"/>
    <w:rsid w:val="003D0308"/>
    <w:rsid w:val="003D1CE9"/>
    <w:rsid w:val="003D31EA"/>
    <w:rsid w:val="003D5696"/>
    <w:rsid w:val="003D5A4F"/>
    <w:rsid w:val="003D694C"/>
    <w:rsid w:val="003D6F6A"/>
    <w:rsid w:val="003E2060"/>
    <w:rsid w:val="003E2382"/>
    <w:rsid w:val="003E3F2B"/>
    <w:rsid w:val="003E5D44"/>
    <w:rsid w:val="003E66C1"/>
    <w:rsid w:val="003E7310"/>
    <w:rsid w:val="003F11D6"/>
    <w:rsid w:val="003F6C38"/>
    <w:rsid w:val="004026DE"/>
    <w:rsid w:val="00403FB6"/>
    <w:rsid w:val="004069A0"/>
    <w:rsid w:val="004136B4"/>
    <w:rsid w:val="00414CA4"/>
    <w:rsid w:val="00415284"/>
    <w:rsid w:val="004164A6"/>
    <w:rsid w:val="004169D7"/>
    <w:rsid w:val="00424999"/>
    <w:rsid w:val="00424E68"/>
    <w:rsid w:val="00430075"/>
    <w:rsid w:val="004310CD"/>
    <w:rsid w:val="00434F53"/>
    <w:rsid w:val="0044211B"/>
    <w:rsid w:val="00444A6A"/>
    <w:rsid w:val="00444E9C"/>
    <w:rsid w:val="00445C86"/>
    <w:rsid w:val="00446F88"/>
    <w:rsid w:val="00447A97"/>
    <w:rsid w:val="00447B6D"/>
    <w:rsid w:val="00447F11"/>
    <w:rsid w:val="00450935"/>
    <w:rsid w:val="00451F0E"/>
    <w:rsid w:val="00453887"/>
    <w:rsid w:val="00453DE1"/>
    <w:rsid w:val="00457758"/>
    <w:rsid w:val="00457F59"/>
    <w:rsid w:val="0046105C"/>
    <w:rsid w:val="00461E39"/>
    <w:rsid w:val="00464DB2"/>
    <w:rsid w:val="00465065"/>
    <w:rsid w:val="0046656C"/>
    <w:rsid w:val="00470834"/>
    <w:rsid w:val="004712E1"/>
    <w:rsid w:val="0047172D"/>
    <w:rsid w:val="00472F61"/>
    <w:rsid w:val="004744B1"/>
    <w:rsid w:val="00475782"/>
    <w:rsid w:val="0048064B"/>
    <w:rsid w:val="004813E1"/>
    <w:rsid w:val="0048268F"/>
    <w:rsid w:val="00483D29"/>
    <w:rsid w:val="004856E9"/>
    <w:rsid w:val="0048734A"/>
    <w:rsid w:val="004908A3"/>
    <w:rsid w:val="0049251A"/>
    <w:rsid w:val="0049641D"/>
    <w:rsid w:val="004A04E5"/>
    <w:rsid w:val="004A2021"/>
    <w:rsid w:val="004A4482"/>
    <w:rsid w:val="004A6D3B"/>
    <w:rsid w:val="004B28BD"/>
    <w:rsid w:val="004C1C76"/>
    <w:rsid w:val="004C1F35"/>
    <w:rsid w:val="004C2912"/>
    <w:rsid w:val="004C358F"/>
    <w:rsid w:val="004C4D7A"/>
    <w:rsid w:val="004C5EF2"/>
    <w:rsid w:val="004D11E2"/>
    <w:rsid w:val="004D231A"/>
    <w:rsid w:val="004D2CC9"/>
    <w:rsid w:val="004D4741"/>
    <w:rsid w:val="004D4815"/>
    <w:rsid w:val="004D57A3"/>
    <w:rsid w:val="004D7C75"/>
    <w:rsid w:val="004E07F8"/>
    <w:rsid w:val="004E0928"/>
    <w:rsid w:val="004E737A"/>
    <w:rsid w:val="004F1AE6"/>
    <w:rsid w:val="004F39A9"/>
    <w:rsid w:val="004F4321"/>
    <w:rsid w:val="004F494F"/>
    <w:rsid w:val="004F7038"/>
    <w:rsid w:val="00502F2D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4432"/>
    <w:rsid w:val="00530120"/>
    <w:rsid w:val="005310EF"/>
    <w:rsid w:val="005314CC"/>
    <w:rsid w:val="00533FCF"/>
    <w:rsid w:val="0053730B"/>
    <w:rsid w:val="00537E4E"/>
    <w:rsid w:val="00540F1B"/>
    <w:rsid w:val="005537F8"/>
    <w:rsid w:val="00554FD4"/>
    <w:rsid w:val="005550E6"/>
    <w:rsid w:val="00555B56"/>
    <w:rsid w:val="0055678C"/>
    <w:rsid w:val="00561F15"/>
    <w:rsid w:val="005636FA"/>
    <w:rsid w:val="00573B2A"/>
    <w:rsid w:val="00577EC0"/>
    <w:rsid w:val="00586A96"/>
    <w:rsid w:val="00586AA3"/>
    <w:rsid w:val="00587A94"/>
    <w:rsid w:val="00590C68"/>
    <w:rsid w:val="005913E9"/>
    <w:rsid w:val="00594857"/>
    <w:rsid w:val="00595B9D"/>
    <w:rsid w:val="00595E1F"/>
    <w:rsid w:val="00597940"/>
    <w:rsid w:val="005B2316"/>
    <w:rsid w:val="005B364E"/>
    <w:rsid w:val="005B4DE8"/>
    <w:rsid w:val="005B56D9"/>
    <w:rsid w:val="005B75C9"/>
    <w:rsid w:val="005C19B9"/>
    <w:rsid w:val="005C42C4"/>
    <w:rsid w:val="005C523E"/>
    <w:rsid w:val="005D24D0"/>
    <w:rsid w:val="005D3C55"/>
    <w:rsid w:val="005D7F03"/>
    <w:rsid w:val="005E548E"/>
    <w:rsid w:val="005E56CF"/>
    <w:rsid w:val="005F23CF"/>
    <w:rsid w:val="005F41D2"/>
    <w:rsid w:val="005F6243"/>
    <w:rsid w:val="005F7C83"/>
    <w:rsid w:val="0060154D"/>
    <w:rsid w:val="00605E0D"/>
    <w:rsid w:val="0061004A"/>
    <w:rsid w:val="00621861"/>
    <w:rsid w:val="0063047C"/>
    <w:rsid w:val="0063121F"/>
    <w:rsid w:val="00632790"/>
    <w:rsid w:val="00643141"/>
    <w:rsid w:val="006505F3"/>
    <w:rsid w:val="00655691"/>
    <w:rsid w:val="00657119"/>
    <w:rsid w:val="00657BF6"/>
    <w:rsid w:val="0066302C"/>
    <w:rsid w:val="006631FB"/>
    <w:rsid w:val="006636A4"/>
    <w:rsid w:val="00664269"/>
    <w:rsid w:val="00664504"/>
    <w:rsid w:val="006716D9"/>
    <w:rsid w:val="00676AA2"/>
    <w:rsid w:val="006774FA"/>
    <w:rsid w:val="00682A57"/>
    <w:rsid w:val="006877B4"/>
    <w:rsid w:val="006928C9"/>
    <w:rsid w:val="006930B8"/>
    <w:rsid w:val="006936BB"/>
    <w:rsid w:val="006949F3"/>
    <w:rsid w:val="00697334"/>
    <w:rsid w:val="006A1490"/>
    <w:rsid w:val="006A1BCD"/>
    <w:rsid w:val="006A4E17"/>
    <w:rsid w:val="006A5309"/>
    <w:rsid w:val="006A61E4"/>
    <w:rsid w:val="006B159B"/>
    <w:rsid w:val="006B447B"/>
    <w:rsid w:val="006C0996"/>
    <w:rsid w:val="006C1DC1"/>
    <w:rsid w:val="006C350A"/>
    <w:rsid w:val="006C640B"/>
    <w:rsid w:val="006C6430"/>
    <w:rsid w:val="006D0258"/>
    <w:rsid w:val="006D4E8D"/>
    <w:rsid w:val="006D5D22"/>
    <w:rsid w:val="006E3887"/>
    <w:rsid w:val="006E6BA2"/>
    <w:rsid w:val="006E73A1"/>
    <w:rsid w:val="006E74F1"/>
    <w:rsid w:val="006F4431"/>
    <w:rsid w:val="006F6E0F"/>
    <w:rsid w:val="007019DC"/>
    <w:rsid w:val="00701F10"/>
    <w:rsid w:val="00702306"/>
    <w:rsid w:val="00702897"/>
    <w:rsid w:val="00717478"/>
    <w:rsid w:val="00721D3E"/>
    <w:rsid w:val="00722C56"/>
    <w:rsid w:val="00727120"/>
    <w:rsid w:val="0072781A"/>
    <w:rsid w:val="00730F24"/>
    <w:rsid w:val="00731EBB"/>
    <w:rsid w:val="007320B2"/>
    <w:rsid w:val="00734A63"/>
    <w:rsid w:val="00734BA9"/>
    <w:rsid w:val="00741184"/>
    <w:rsid w:val="007419EB"/>
    <w:rsid w:val="00742F4B"/>
    <w:rsid w:val="00743988"/>
    <w:rsid w:val="007440F5"/>
    <w:rsid w:val="0074498C"/>
    <w:rsid w:val="007465D8"/>
    <w:rsid w:val="00747158"/>
    <w:rsid w:val="00760140"/>
    <w:rsid w:val="007635F9"/>
    <w:rsid w:val="00763C44"/>
    <w:rsid w:val="00765E89"/>
    <w:rsid w:val="00767711"/>
    <w:rsid w:val="00772E66"/>
    <w:rsid w:val="0077398E"/>
    <w:rsid w:val="007771EA"/>
    <w:rsid w:val="00782C76"/>
    <w:rsid w:val="00786044"/>
    <w:rsid w:val="00786F4F"/>
    <w:rsid w:val="00792B95"/>
    <w:rsid w:val="00793A58"/>
    <w:rsid w:val="00793DAF"/>
    <w:rsid w:val="007969C0"/>
    <w:rsid w:val="00797717"/>
    <w:rsid w:val="007A02EB"/>
    <w:rsid w:val="007A19AF"/>
    <w:rsid w:val="007A1D46"/>
    <w:rsid w:val="007A34C4"/>
    <w:rsid w:val="007A351D"/>
    <w:rsid w:val="007A6627"/>
    <w:rsid w:val="007A6B05"/>
    <w:rsid w:val="007A761F"/>
    <w:rsid w:val="007B3BCE"/>
    <w:rsid w:val="007C19AA"/>
    <w:rsid w:val="007C19D7"/>
    <w:rsid w:val="007C1D60"/>
    <w:rsid w:val="007C2808"/>
    <w:rsid w:val="007C312B"/>
    <w:rsid w:val="007C669E"/>
    <w:rsid w:val="007D0005"/>
    <w:rsid w:val="007D25B7"/>
    <w:rsid w:val="007E03E3"/>
    <w:rsid w:val="007E2B11"/>
    <w:rsid w:val="007E33DE"/>
    <w:rsid w:val="007E4C61"/>
    <w:rsid w:val="007E5901"/>
    <w:rsid w:val="007E7D5A"/>
    <w:rsid w:val="007F12CE"/>
    <w:rsid w:val="007F3791"/>
    <w:rsid w:val="007F497A"/>
    <w:rsid w:val="00800E14"/>
    <w:rsid w:val="008019F1"/>
    <w:rsid w:val="008042FD"/>
    <w:rsid w:val="00815FBD"/>
    <w:rsid w:val="008162AD"/>
    <w:rsid w:val="00817F2A"/>
    <w:rsid w:val="00825050"/>
    <w:rsid w:val="00832245"/>
    <w:rsid w:val="008343D7"/>
    <w:rsid w:val="00840498"/>
    <w:rsid w:val="00841973"/>
    <w:rsid w:val="00843326"/>
    <w:rsid w:val="00843D14"/>
    <w:rsid w:val="0084497B"/>
    <w:rsid w:val="00845420"/>
    <w:rsid w:val="00845B49"/>
    <w:rsid w:val="00850985"/>
    <w:rsid w:val="00851897"/>
    <w:rsid w:val="008523FA"/>
    <w:rsid w:val="00855B9F"/>
    <w:rsid w:val="00856ED7"/>
    <w:rsid w:val="00860F3A"/>
    <w:rsid w:val="00862061"/>
    <w:rsid w:val="00865C66"/>
    <w:rsid w:val="00870332"/>
    <w:rsid w:val="00870EF6"/>
    <w:rsid w:val="00872127"/>
    <w:rsid w:val="0087231C"/>
    <w:rsid w:val="00877B46"/>
    <w:rsid w:val="008802B6"/>
    <w:rsid w:val="008839CF"/>
    <w:rsid w:val="00883B42"/>
    <w:rsid w:val="0088710E"/>
    <w:rsid w:val="00890667"/>
    <w:rsid w:val="008916FC"/>
    <w:rsid w:val="00895754"/>
    <w:rsid w:val="008A04B0"/>
    <w:rsid w:val="008A7198"/>
    <w:rsid w:val="008B1379"/>
    <w:rsid w:val="008B271D"/>
    <w:rsid w:val="008B475A"/>
    <w:rsid w:val="008B6D39"/>
    <w:rsid w:val="008C05D0"/>
    <w:rsid w:val="008C1D08"/>
    <w:rsid w:val="008D740A"/>
    <w:rsid w:val="008E5B16"/>
    <w:rsid w:val="008E7057"/>
    <w:rsid w:val="008F00DE"/>
    <w:rsid w:val="008F15E4"/>
    <w:rsid w:val="008F30F8"/>
    <w:rsid w:val="008F4096"/>
    <w:rsid w:val="008F6439"/>
    <w:rsid w:val="0090382B"/>
    <w:rsid w:val="00910B49"/>
    <w:rsid w:val="00911185"/>
    <w:rsid w:val="00911495"/>
    <w:rsid w:val="00911FEA"/>
    <w:rsid w:val="0091270A"/>
    <w:rsid w:val="0091400C"/>
    <w:rsid w:val="00914687"/>
    <w:rsid w:val="00915170"/>
    <w:rsid w:val="00920163"/>
    <w:rsid w:val="00921DCD"/>
    <w:rsid w:val="00922762"/>
    <w:rsid w:val="009227EE"/>
    <w:rsid w:val="009361FA"/>
    <w:rsid w:val="009416AE"/>
    <w:rsid w:val="009422B8"/>
    <w:rsid w:val="009426CD"/>
    <w:rsid w:val="009438A7"/>
    <w:rsid w:val="00946110"/>
    <w:rsid w:val="00947AA3"/>
    <w:rsid w:val="00947BA6"/>
    <w:rsid w:val="00960B1B"/>
    <w:rsid w:val="00963694"/>
    <w:rsid w:val="00963829"/>
    <w:rsid w:val="009653C8"/>
    <w:rsid w:val="0096679C"/>
    <w:rsid w:val="00967966"/>
    <w:rsid w:val="00971FA9"/>
    <w:rsid w:val="00972339"/>
    <w:rsid w:val="0097243F"/>
    <w:rsid w:val="009725D8"/>
    <w:rsid w:val="0097529C"/>
    <w:rsid w:val="00982CBB"/>
    <w:rsid w:val="00983DAD"/>
    <w:rsid w:val="00985ACC"/>
    <w:rsid w:val="00985CDE"/>
    <w:rsid w:val="00987906"/>
    <w:rsid w:val="00993871"/>
    <w:rsid w:val="00996BCB"/>
    <w:rsid w:val="009A0719"/>
    <w:rsid w:val="009A2007"/>
    <w:rsid w:val="009B39B1"/>
    <w:rsid w:val="009B433E"/>
    <w:rsid w:val="009B6BE2"/>
    <w:rsid w:val="009B7116"/>
    <w:rsid w:val="009C162D"/>
    <w:rsid w:val="009C3C6E"/>
    <w:rsid w:val="009C4094"/>
    <w:rsid w:val="009C4524"/>
    <w:rsid w:val="009C6D7B"/>
    <w:rsid w:val="009C7714"/>
    <w:rsid w:val="009D1BF8"/>
    <w:rsid w:val="009D3B47"/>
    <w:rsid w:val="009D5785"/>
    <w:rsid w:val="009D58A2"/>
    <w:rsid w:val="009E0EF0"/>
    <w:rsid w:val="009E1A38"/>
    <w:rsid w:val="009F140E"/>
    <w:rsid w:val="009F333D"/>
    <w:rsid w:val="00A00301"/>
    <w:rsid w:val="00A0033F"/>
    <w:rsid w:val="00A00E65"/>
    <w:rsid w:val="00A00E6C"/>
    <w:rsid w:val="00A02F4C"/>
    <w:rsid w:val="00A02F6D"/>
    <w:rsid w:val="00A05DAC"/>
    <w:rsid w:val="00A07993"/>
    <w:rsid w:val="00A108F5"/>
    <w:rsid w:val="00A14E96"/>
    <w:rsid w:val="00A17A8C"/>
    <w:rsid w:val="00A22B86"/>
    <w:rsid w:val="00A26AB9"/>
    <w:rsid w:val="00A26B35"/>
    <w:rsid w:val="00A3314E"/>
    <w:rsid w:val="00A35735"/>
    <w:rsid w:val="00A5336A"/>
    <w:rsid w:val="00A62018"/>
    <w:rsid w:val="00A624DC"/>
    <w:rsid w:val="00A6435C"/>
    <w:rsid w:val="00A650A6"/>
    <w:rsid w:val="00A72052"/>
    <w:rsid w:val="00A8339A"/>
    <w:rsid w:val="00A83D2C"/>
    <w:rsid w:val="00A8474C"/>
    <w:rsid w:val="00A84D3A"/>
    <w:rsid w:val="00A9327F"/>
    <w:rsid w:val="00A95C68"/>
    <w:rsid w:val="00A9688F"/>
    <w:rsid w:val="00A96918"/>
    <w:rsid w:val="00A96FFE"/>
    <w:rsid w:val="00AA6AE7"/>
    <w:rsid w:val="00AA7BA7"/>
    <w:rsid w:val="00AB6707"/>
    <w:rsid w:val="00AC0E7B"/>
    <w:rsid w:val="00AC2E6D"/>
    <w:rsid w:val="00AC610C"/>
    <w:rsid w:val="00AC66E3"/>
    <w:rsid w:val="00AD12E3"/>
    <w:rsid w:val="00AD6A06"/>
    <w:rsid w:val="00AD6B37"/>
    <w:rsid w:val="00AE0CDC"/>
    <w:rsid w:val="00AE1701"/>
    <w:rsid w:val="00AE359E"/>
    <w:rsid w:val="00AE7F81"/>
    <w:rsid w:val="00AF0E4C"/>
    <w:rsid w:val="00AF3041"/>
    <w:rsid w:val="00AF30DF"/>
    <w:rsid w:val="00B00F10"/>
    <w:rsid w:val="00B01332"/>
    <w:rsid w:val="00B0481C"/>
    <w:rsid w:val="00B07DFC"/>
    <w:rsid w:val="00B11575"/>
    <w:rsid w:val="00B121E1"/>
    <w:rsid w:val="00B1439E"/>
    <w:rsid w:val="00B1491D"/>
    <w:rsid w:val="00B15AF5"/>
    <w:rsid w:val="00B1674E"/>
    <w:rsid w:val="00B2104D"/>
    <w:rsid w:val="00B226F2"/>
    <w:rsid w:val="00B25CE4"/>
    <w:rsid w:val="00B267C7"/>
    <w:rsid w:val="00B274E9"/>
    <w:rsid w:val="00B30A91"/>
    <w:rsid w:val="00B32BCB"/>
    <w:rsid w:val="00B34083"/>
    <w:rsid w:val="00B3697E"/>
    <w:rsid w:val="00B42A16"/>
    <w:rsid w:val="00B51FE2"/>
    <w:rsid w:val="00B5283C"/>
    <w:rsid w:val="00B52CEA"/>
    <w:rsid w:val="00B665F0"/>
    <w:rsid w:val="00B6674D"/>
    <w:rsid w:val="00B70728"/>
    <w:rsid w:val="00B7291D"/>
    <w:rsid w:val="00B75112"/>
    <w:rsid w:val="00B77CE2"/>
    <w:rsid w:val="00B81103"/>
    <w:rsid w:val="00B82E88"/>
    <w:rsid w:val="00B8736D"/>
    <w:rsid w:val="00B912B4"/>
    <w:rsid w:val="00B956CA"/>
    <w:rsid w:val="00B962CF"/>
    <w:rsid w:val="00BA697C"/>
    <w:rsid w:val="00BA7AE0"/>
    <w:rsid w:val="00BB02A0"/>
    <w:rsid w:val="00BB0E21"/>
    <w:rsid w:val="00BB23CF"/>
    <w:rsid w:val="00BB37AC"/>
    <w:rsid w:val="00BB42CD"/>
    <w:rsid w:val="00BB6725"/>
    <w:rsid w:val="00BB6735"/>
    <w:rsid w:val="00BB6E2A"/>
    <w:rsid w:val="00BC0695"/>
    <w:rsid w:val="00BC0FC8"/>
    <w:rsid w:val="00BC305B"/>
    <w:rsid w:val="00BC65E7"/>
    <w:rsid w:val="00BC76E9"/>
    <w:rsid w:val="00BD1690"/>
    <w:rsid w:val="00BD3405"/>
    <w:rsid w:val="00BD4366"/>
    <w:rsid w:val="00BD6C6B"/>
    <w:rsid w:val="00BE3E2D"/>
    <w:rsid w:val="00BE7E86"/>
    <w:rsid w:val="00BF0199"/>
    <w:rsid w:val="00BF104B"/>
    <w:rsid w:val="00BF667F"/>
    <w:rsid w:val="00C00CFC"/>
    <w:rsid w:val="00C06DF8"/>
    <w:rsid w:val="00C12F38"/>
    <w:rsid w:val="00C15820"/>
    <w:rsid w:val="00C15FF8"/>
    <w:rsid w:val="00C23C6B"/>
    <w:rsid w:val="00C255CE"/>
    <w:rsid w:val="00C26665"/>
    <w:rsid w:val="00C31534"/>
    <w:rsid w:val="00C31D72"/>
    <w:rsid w:val="00C3441E"/>
    <w:rsid w:val="00C401BF"/>
    <w:rsid w:val="00C411BB"/>
    <w:rsid w:val="00C424D7"/>
    <w:rsid w:val="00C42DFB"/>
    <w:rsid w:val="00C447AA"/>
    <w:rsid w:val="00C45B46"/>
    <w:rsid w:val="00C47429"/>
    <w:rsid w:val="00C512FC"/>
    <w:rsid w:val="00C52B72"/>
    <w:rsid w:val="00C5559F"/>
    <w:rsid w:val="00C561AD"/>
    <w:rsid w:val="00C62F9B"/>
    <w:rsid w:val="00C643BB"/>
    <w:rsid w:val="00C64A56"/>
    <w:rsid w:val="00C65388"/>
    <w:rsid w:val="00C66C7D"/>
    <w:rsid w:val="00C73B86"/>
    <w:rsid w:val="00C74157"/>
    <w:rsid w:val="00C74FA9"/>
    <w:rsid w:val="00C760CD"/>
    <w:rsid w:val="00C76228"/>
    <w:rsid w:val="00C81535"/>
    <w:rsid w:val="00C82D60"/>
    <w:rsid w:val="00C96FA0"/>
    <w:rsid w:val="00C97867"/>
    <w:rsid w:val="00CA103B"/>
    <w:rsid w:val="00CA1B08"/>
    <w:rsid w:val="00CA1E91"/>
    <w:rsid w:val="00CA250D"/>
    <w:rsid w:val="00CA285A"/>
    <w:rsid w:val="00CA390D"/>
    <w:rsid w:val="00CA4D7C"/>
    <w:rsid w:val="00CA7482"/>
    <w:rsid w:val="00CA7F0F"/>
    <w:rsid w:val="00CB2852"/>
    <w:rsid w:val="00CB5861"/>
    <w:rsid w:val="00CB5DEA"/>
    <w:rsid w:val="00CC4A28"/>
    <w:rsid w:val="00CD0F80"/>
    <w:rsid w:val="00CD4A33"/>
    <w:rsid w:val="00CE207A"/>
    <w:rsid w:val="00CE253C"/>
    <w:rsid w:val="00CE34FA"/>
    <w:rsid w:val="00CE459B"/>
    <w:rsid w:val="00CE5E50"/>
    <w:rsid w:val="00CF00C7"/>
    <w:rsid w:val="00CF3B47"/>
    <w:rsid w:val="00CF48C2"/>
    <w:rsid w:val="00CF4A91"/>
    <w:rsid w:val="00CF612E"/>
    <w:rsid w:val="00D02291"/>
    <w:rsid w:val="00D04FB9"/>
    <w:rsid w:val="00D06A14"/>
    <w:rsid w:val="00D07FF9"/>
    <w:rsid w:val="00D12075"/>
    <w:rsid w:val="00D144CA"/>
    <w:rsid w:val="00D15A68"/>
    <w:rsid w:val="00D170D1"/>
    <w:rsid w:val="00D2098C"/>
    <w:rsid w:val="00D20FA5"/>
    <w:rsid w:val="00D23363"/>
    <w:rsid w:val="00D23529"/>
    <w:rsid w:val="00D24ABE"/>
    <w:rsid w:val="00D27A93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F1E"/>
    <w:rsid w:val="00D46CBA"/>
    <w:rsid w:val="00D50D3C"/>
    <w:rsid w:val="00D53949"/>
    <w:rsid w:val="00D54079"/>
    <w:rsid w:val="00D549E0"/>
    <w:rsid w:val="00D557E5"/>
    <w:rsid w:val="00D60A2F"/>
    <w:rsid w:val="00D61219"/>
    <w:rsid w:val="00D65397"/>
    <w:rsid w:val="00D6655E"/>
    <w:rsid w:val="00D67092"/>
    <w:rsid w:val="00D677E7"/>
    <w:rsid w:val="00D70381"/>
    <w:rsid w:val="00D70616"/>
    <w:rsid w:val="00D71DD8"/>
    <w:rsid w:val="00D7270E"/>
    <w:rsid w:val="00D74366"/>
    <w:rsid w:val="00D83636"/>
    <w:rsid w:val="00D83FB0"/>
    <w:rsid w:val="00D84073"/>
    <w:rsid w:val="00D840C3"/>
    <w:rsid w:val="00D8664C"/>
    <w:rsid w:val="00D91BBD"/>
    <w:rsid w:val="00D93BDB"/>
    <w:rsid w:val="00D93C06"/>
    <w:rsid w:val="00DA035E"/>
    <w:rsid w:val="00DA2A7E"/>
    <w:rsid w:val="00DA3B37"/>
    <w:rsid w:val="00DA5CEF"/>
    <w:rsid w:val="00DA7836"/>
    <w:rsid w:val="00DB0B67"/>
    <w:rsid w:val="00DB107B"/>
    <w:rsid w:val="00DB6FE4"/>
    <w:rsid w:val="00DB7CC5"/>
    <w:rsid w:val="00DC1095"/>
    <w:rsid w:val="00DC1455"/>
    <w:rsid w:val="00DC2219"/>
    <w:rsid w:val="00DC7EF8"/>
    <w:rsid w:val="00DD1B7E"/>
    <w:rsid w:val="00DD2A26"/>
    <w:rsid w:val="00DD529E"/>
    <w:rsid w:val="00DD6B7F"/>
    <w:rsid w:val="00DD7FE9"/>
    <w:rsid w:val="00DF069E"/>
    <w:rsid w:val="00DF2C68"/>
    <w:rsid w:val="00E00F46"/>
    <w:rsid w:val="00E056CD"/>
    <w:rsid w:val="00E058E4"/>
    <w:rsid w:val="00E07BDD"/>
    <w:rsid w:val="00E10E58"/>
    <w:rsid w:val="00E113EC"/>
    <w:rsid w:val="00E116DF"/>
    <w:rsid w:val="00E123C5"/>
    <w:rsid w:val="00E14E5D"/>
    <w:rsid w:val="00E15970"/>
    <w:rsid w:val="00E32759"/>
    <w:rsid w:val="00E40DAC"/>
    <w:rsid w:val="00E42755"/>
    <w:rsid w:val="00E42BF7"/>
    <w:rsid w:val="00E43B6D"/>
    <w:rsid w:val="00E51257"/>
    <w:rsid w:val="00E54A89"/>
    <w:rsid w:val="00E614F2"/>
    <w:rsid w:val="00E6697D"/>
    <w:rsid w:val="00E66B9E"/>
    <w:rsid w:val="00E71175"/>
    <w:rsid w:val="00E73FED"/>
    <w:rsid w:val="00E75290"/>
    <w:rsid w:val="00E803DC"/>
    <w:rsid w:val="00E9115F"/>
    <w:rsid w:val="00E913E2"/>
    <w:rsid w:val="00E932ED"/>
    <w:rsid w:val="00E965BD"/>
    <w:rsid w:val="00EA0389"/>
    <w:rsid w:val="00EA117C"/>
    <w:rsid w:val="00EA3358"/>
    <w:rsid w:val="00EA481E"/>
    <w:rsid w:val="00EA76F3"/>
    <w:rsid w:val="00EA7AE7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F42"/>
    <w:rsid w:val="00EC4C56"/>
    <w:rsid w:val="00EC65E3"/>
    <w:rsid w:val="00EC6633"/>
    <w:rsid w:val="00ED148D"/>
    <w:rsid w:val="00ED2338"/>
    <w:rsid w:val="00ED4B6B"/>
    <w:rsid w:val="00ED5F41"/>
    <w:rsid w:val="00EE229B"/>
    <w:rsid w:val="00EE7B55"/>
    <w:rsid w:val="00EF1B04"/>
    <w:rsid w:val="00EF3860"/>
    <w:rsid w:val="00EF42E4"/>
    <w:rsid w:val="00EF669D"/>
    <w:rsid w:val="00F01347"/>
    <w:rsid w:val="00F01483"/>
    <w:rsid w:val="00F064C2"/>
    <w:rsid w:val="00F067C7"/>
    <w:rsid w:val="00F14190"/>
    <w:rsid w:val="00F144D9"/>
    <w:rsid w:val="00F178D3"/>
    <w:rsid w:val="00F2402F"/>
    <w:rsid w:val="00F277B3"/>
    <w:rsid w:val="00F30A15"/>
    <w:rsid w:val="00F3117E"/>
    <w:rsid w:val="00F338AF"/>
    <w:rsid w:val="00F34A5F"/>
    <w:rsid w:val="00F357CB"/>
    <w:rsid w:val="00F361D2"/>
    <w:rsid w:val="00F43004"/>
    <w:rsid w:val="00F46966"/>
    <w:rsid w:val="00F50A25"/>
    <w:rsid w:val="00F50D86"/>
    <w:rsid w:val="00F513B5"/>
    <w:rsid w:val="00F53CB8"/>
    <w:rsid w:val="00F53EA7"/>
    <w:rsid w:val="00F56E96"/>
    <w:rsid w:val="00F606E4"/>
    <w:rsid w:val="00F60E02"/>
    <w:rsid w:val="00F63FD9"/>
    <w:rsid w:val="00F64D09"/>
    <w:rsid w:val="00F70E19"/>
    <w:rsid w:val="00F719CF"/>
    <w:rsid w:val="00F73E7A"/>
    <w:rsid w:val="00F76C6A"/>
    <w:rsid w:val="00F86132"/>
    <w:rsid w:val="00F869B5"/>
    <w:rsid w:val="00F875D9"/>
    <w:rsid w:val="00F876FB"/>
    <w:rsid w:val="00F931CB"/>
    <w:rsid w:val="00FA1E6D"/>
    <w:rsid w:val="00FA3AA0"/>
    <w:rsid w:val="00FA3CE9"/>
    <w:rsid w:val="00FA6E90"/>
    <w:rsid w:val="00FB0C8A"/>
    <w:rsid w:val="00FB1706"/>
    <w:rsid w:val="00FB39C9"/>
    <w:rsid w:val="00FB3E39"/>
    <w:rsid w:val="00FB6E23"/>
    <w:rsid w:val="00FB7FAE"/>
    <w:rsid w:val="00FC0003"/>
    <w:rsid w:val="00FC02D8"/>
    <w:rsid w:val="00FD0CAD"/>
    <w:rsid w:val="00FE2BEE"/>
    <w:rsid w:val="00FE3DA4"/>
    <w:rsid w:val="00FE78B4"/>
    <w:rsid w:val="00FF068A"/>
    <w:rsid w:val="00FF2C17"/>
    <w:rsid w:val="00FF40B6"/>
    <w:rsid w:val="00FF4C17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3E1E-6BFD-4B8C-8771-9035453D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7905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3</cp:revision>
  <cp:lastPrinted>2016-03-23T09:20:00Z</cp:lastPrinted>
  <dcterms:created xsi:type="dcterms:W3CDTF">2016-04-18T06:11:00Z</dcterms:created>
  <dcterms:modified xsi:type="dcterms:W3CDTF">2016-04-18T06:13:00Z</dcterms:modified>
</cp:coreProperties>
</file>