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E34" w:rsidRPr="00833894" w:rsidRDefault="00052E34" w:rsidP="00052E34">
      <w:pPr>
        <w:shd w:val="clear" w:color="auto" w:fill="FFFFFF"/>
        <w:spacing w:after="120" w:line="360" w:lineRule="auto"/>
        <w:jc w:val="both"/>
        <w:outlineLvl w:val="0"/>
        <w:rPr>
          <w:rFonts w:ascii="Arial" w:hAnsi="Arial" w:cs="Arial"/>
          <w:kern w:val="36"/>
        </w:rPr>
      </w:pPr>
      <w:r w:rsidRPr="00833894">
        <w:rPr>
          <w:rFonts w:ascii="Arial" w:hAnsi="Arial" w:cs="Arial"/>
          <w:b/>
          <w:kern w:val="36"/>
        </w:rPr>
        <w:t>PENAL. Prueba testifical</w:t>
      </w:r>
      <w:r>
        <w:rPr>
          <w:rFonts w:ascii="Arial" w:hAnsi="Arial" w:cs="Arial"/>
          <w:kern w:val="36"/>
        </w:rPr>
        <w:t xml:space="preserve">. </w:t>
      </w:r>
      <w:r w:rsidRPr="00833894">
        <w:rPr>
          <w:rFonts w:ascii="Arial" w:hAnsi="Arial" w:cs="Arial"/>
          <w:kern w:val="36"/>
        </w:rPr>
        <w:t xml:space="preserve">Valor probatorio de las declaraciones sumariales introducidas vía artículo 730 </w:t>
      </w:r>
      <w:proofErr w:type="spellStart"/>
      <w:r w:rsidRPr="00833894">
        <w:rPr>
          <w:rFonts w:ascii="Arial" w:hAnsi="Arial" w:cs="Arial"/>
          <w:kern w:val="36"/>
        </w:rPr>
        <w:t>Lecrim</w:t>
      </w:r>
      <w:proofErr w:type="spellEnd"/>
      <w:r w:rsidRPr="00833894">
        <w:rPr>
          <w:rFonts w:ascii="Arial" w:hAnsi="Arial" w:cs="Arial"/>
          <w:kern w:val="36"/>
        </w:rPr>
        <w:t xml:space="preserve">. Especial referencia al principio de contradicción </w:t>
      </w:r>
      <w:r w:rsidRPr="00833894">
        <w:rPr>
          <w:rFonts w:ascii="Arial" w:hAnsi="Arial" w:cs="Arial"/>
        </w:rPr>
        <w:t>Nuestra tradición jurídica reconoce como únicas pruebas aptas para desvirtuar la presunción de inocencia aquellas que se practican en el acto de juicio oral. Existen, sin embargo, mecanismos que permiten la introducción de diligencias de investigación practicadas en fase sumarial en el plenario, sin que éstos violenten los consabidos “</w:t>
      </w:r>
      <w:r w:rsidRPr="00833894">
        <w:rPr>
          <w:rFonts w:ascii="Arial" w:hAnsi="Arial" w:cs="Arial"/>
          <w:iCs/>
        </w:rPr>
        <w:t>principios de inmediación, oralidad y contradicción</w:t>
      </w:r>
      <w:r w:rsidRPr="00833894">
        <w:rPr>
          <w:rFonts w:ascii="Arial" w:hAnsi="Arial" w:cs="Arial"/>
        </w:rPr>
        <w:t>” (</w:t>
      </w:r>
      <w:proofErr w:type="spellStart"/>
      <w:r w:rsidRPr="00833894">
        <w:rPr>
          <w:rFonts w:ascii="Arial" w:hAnsi="Arial" w:cs="Arial"/>
        </w:rPr>
        <w:t>SSTC</w:t>
      </w:r>
      <w:proofErr w:type="spellEnd"/>
      <w:r w:rsidRPr="00833894">
        <w:rPr>
          <w:rFonts w:ascii="Arial" w:hAnsi="Arial" w:cs="Arial"/>
        </w:rPr>
        <w:t xml:space="preserve"> núm. 57/1986 de 14 de mayo). Uno de estos mecanismos es precisamente el previsto en el artículo 730 </w:t>
      </w:r>
      <w:proofErr w:type="spellStart"/>
      <w:r w:rsidRPr="00833894">
        <w:rPr>
          <w:rFonts w:ascii="Arial" w:hAnsi="Arial" w:cs="Arial"/>
        </w:rPr>
        <w:t>Lecrim</w:t>
      </w:r>
      <w:proofErr w:type="spellEnd"/>
      <w:r w:rsidRPr="00833894">
        <w:rPr>
          <w:rFonts w:ascii="Arial" w:hAnsi="Arial" w:cs="Arial"/>
        </w:rPr>
        <w:t>, que permite la lectura de “</w:t>
      </w:r>
      <w:r w:rsidRPr="00833894">
        <w:rPr>
          <w:rFonts w:ascii="Arial" w:hAnsi="Arial" w:cs="Arial"/>
          <w:iCs/>
        </w:rPr>
        <w:t>las diligencias practicadas en el sumario, que, por causas independientes de la voluntad de aquéllas, no puedan ser reproducidas en el juicio oral.</w:t>
      </w:r>
      <w:r w:rsidRPr="00833894">
        <w:rPr>
          <w:rFonts w:ascii="Arial" w:hAnsi="Arial" w:cs="Arial"/>
        </w:rPr>
        <w:t xml:space="preserve">” </w:t>
      </w:r>
    </w:p>
    <w:p w:rsidR="00052E34" w:rsidRPr="00833894" w:rsidRDefault="00052E34" w:rsidP="00052E34">
      <w:pPr>
        <w:shd w:val="clear" w:color="auto" w:fill="FFFFFF"/>
        <w:spacing w:before="100" w:beforeAutospacing="1" w:after="240" w:line="360" w:lineRule="auto"/>
        <w:jc w:val="both"/>
        <w:rPr>
          <w:rFonts w:ascii="Arial" w:hAnsi="Arial" w:cs="Arial"/>
        </w:rPr>
      </w:pPr>
      <w:r w:rsidRPr="00833894">
        <w:rPr>
          <w:rFonts w:ascii="Arial" w:hAnsi="Arial" w:cs="Arial"/>
        </w:rPr>
        <w:t xml:space="preserve">Mediante el recurso a la vía del 730 </w:t>
      </w:r>
      <w:proofErr w:type="spellStart"/>
      <w:r w:rsidRPr="00833894">
        <w:rPr>
          <w:rFonts w:ascii="Arial" w:hAnsi="Arial" w:cs="Arial"/>
        </w:rPr>
        <w:t>Lecrim</w:t>
      </w:r>
      <w:proofErr w:type="spellEnd"/>
      <w:r w:rsidRPr="00833894">
        <w:rPr>
          <w:rFonts w:ascii="Arial" w:hAnsi="Arial" w:cs="Arial"/>
        </w:rPr>
        <w:t>. se permite, por tanto, la lectura de declaraciones sumariales (tanto las prestadas por testigos como por coimputados) que podrían ser a priori aptas para desvirtuar la presunción de inocencia, siempre que se respeten determinados requisitos: (</w:t>
      </w:r>
      <w:r w:rsidRPr="00833894">
        <w:rPr>
          <w:rFonts w:ascii="Arial" w:hAnsi="Arial" w:cs="Arial"/>
          <w:bCs/>
        </w:rPr>
        <w:t>i</w:t>
      </w:r>
      <w:r w:rsidRPr="00833894">
        <w:rPr>
          <w:rFonts w:ascii="Arial" w:hAnsi="Arial" w:cs="Arial"/>
        </w:rPr>
        <w:t xml:space="preserve">) </w:t>
      </w:r>
      <w:r w:rsidRPr="00833894">
        <w:rPr>
          <w:rFonts w:ascii="Arial" w:hAnsi="Arial" w:cs="Arial"/>
          <w:bCs/>
        </w:rPr>
        <w:t>materiales</w:t>
      </w:r>
      <w:r w:rsidRPr="00833894">
        <w:rPr>
          <w:rFonts w:ascii="Arial" w:hAnsi="Arial" w:cs="Arial"/>
        </w:rPr>
        <w:t xml:space="preserve"> -que exista una causa legítima que impida reproducir la declaración en juicio oral-; (</w:t>
      </w:r>
      <w:proofErr w:type="spellStart"/>
      <w:r w:rsidRPr="00833894">
        <w:rPr>
          <w:rFonts w:ascii="Arial" w:hAnsi="Arial" w:cs="Arial"/>
          <w:bCs/>
        </w:rPr>
        <w:t>ii</w:t>
      </w:r>
      <w:proofErr w:type="spellEnd"/>
      <w:r w:rsidRPr="00833894">
        <w:rPr>
          <w:rFonts w:ascii="Arial" w:hAnsi="Arial" w:cs="Arial"/>
        </w:rPr>
        <w:t xml:space="preserve">) </w:t>
      </w:r>
      <w:r w:rsidRPr="00833894">
        <w:rPr>
          <w:rFonts w:ascii="Arial" w:hAnsi="Arial" w:cs="Arial"/>
          <w:bCs/>
        </w:rPr>
        <w:t>subjetivos</w:t>
      </w:r>
      <w:r w:rsidRPr="00833894">
        <w:rPr>
          <w:rFonts w:ascii="Arial" w:hAnsi="Arial" w:cs="Arial"/>
        </w:rPr>
        <w:t>-la necesaria intervención del Juez de Instrucción-; (</w:t>
      </w:r>
      <w:proofErr w:type="spellStart"/>
      <w:r w:rsidRPr="00833894">
        <w:rPr>
          <w:rFonts w:ascii="Arial" w:hAnsi="Arial" w:cs="Arial"/>
          <w:bCs/>
        </w:rPr>
        <w:t>ii</w:t>
      </w:r>
      <w:proofErr w:type="spellEnd"/>
      <w:r w:rsidRPr="00833894">
        <w:rPr>
          <w:rFonts w:ascii="Arial" w:hAnsi="Arial" w:cs="Arial"/>
        </w:rPr>
        <w:t xml:space="preserve">) </w:t>
      </w:r>
      <w:r w:rsidRPr="00833894">
        <w:rPr>
          <w:rFonts w:ascii="Arial" w:hAnsi="Arial" w:cs="Arial"/>
          <w:bCs/>
        </w:rPr>
        <w:t>objetivos</w:t>
      </w:r>
      <w:r w:rsidRPr="00833894">
        <w:rPr>
          <w:rFonts w:ascii="Arial" w:hAnsi="Arial" w:cs="Arial"/>
        </w:rPr>
        <w:t xml:space="preserve"> -que se garantice la posibilidad de contradicción; y (</w:t>
      </w:r>
      <w:proofErr w:type="spellStart"/>
      <w:r w:rsidRPr="00833894">
        <w:rPr>
          <w:rFonts w:ascii="Arial" w:hAnsi="Arial" w:cs="Arial"/>
          <w:bCs/>
        </w:rPr>
        <w:t>iv</w:t>
      </w:r>
      <w:proofErr w:type="spellEnd"/>
      <w:r w:rsidRPr="00833894">
        <w:rPr>
          <w:rFonts w:ascii="Arial" w:hAnsi="Arial" w:cs="Arial"/>
        </w:rPr>
        <w:t xml:space="preserve">) </w:t>
      </w:r>
      <w:r w:rsidRPr="00833894">
        <w:rPr>
          <w:rFonts w:ascii="Arial" w:hAnsi="Arial" w:cs="Arial"/>
          <w:bCs/>
        </w:rPr>
        <w:t>formales</w:t>
      </w:r>
      <w:r w:rsidRPr="00833894">
        <w:rPr>
          <w:rFonts w:ascii="Arial" w:hAnsi="Arial" w:cs="Arial"/>
        </w:rPr>
        <w:t xml:space="preserve"> -la introducción del contenidos de la declaración sumarial a través de la lectura del acta en que se documenta (</w:t>
      </w:r>
      <w:proofErr w:type="spellStart"/>
      <w:r w:rsidRPr="00833894">
        <w:rPr>
          <w:rFonts w:ascii="Arial" w:hAnsi="Arial" w:cs="Arial"/>
        </w:rPr>
        <w:t>SSTC</w:t>
      </w:r>
      <w:proofErr w:type="spellEnd"/>
      <w:r w:rsidRPr="00833894">
        <w:rPr>
          <w:rFonts w:ascii="Arial" w:hAnsi="Arial" w:cs="Arial"/>
        </w:rPr>
        <w:t xml:space="preserve"> 303/1993, de 25 de octubre). </w:t>
      </w:r>
    </w:p>
    <w:p w:rsidR="00052E34" w:rsidRPr="00833894" w:rsidRDefault="00052E34" w:rsidP="00052E34">
      <w:pPr>
        <w:shd w:val="clear" w:color="auto" w:fill="FFFFFF"/>
        <w:spacing w:before="100" w:beforeAutospacing="1" w:after="240" w:line="360" w:lineRule="auto"/>
        <w:jc w:val="both"/>
        <w:rPr>
          <w:rFonts w:ascii="Arial" w:hAnsi="Arial" w:cs="Arial"/>
        </w:rPr>
      </w:pPr>
      <w:r w:rsidRPr="00833894">
        <w:rPr>
          <w:rFonts w:ascii="Arial" w:hAnsi="Arial" w:cs="Arial"/>
        </w:rPr>
        <w:t xml:space="preserve">Sentado lo anterior, en la aplicación práctica de los anteriores requisitos se plantean numerosas dudas que han generado ríos de tinta, tanto a nivel español como a nivel europeo, especialmente en referencia al penúltimo requisito, la posibilidad de contradicción. </w:t>
      </w:r>
    </w:p>
    <w:p w:rsidR="00052E34" w:rsidRPr="00833894" w:rsidRDefault="00052E34" w:rsidP="00052E34">
      <w:pPr>
        <w:shd w:val="clear" w:color="auto" w:fill="FFFFFF"/>
        <w:spacing w:before="100" w:beforeAutospacing="1" w:after="240" w:line="360" w:lineRule="auto"/>
        <w:jc w:val="both"/>
        <w:rPr>
          <w:rFonts w:ascii="Arial" w:hAnsi="Arial" w:cs="Arial"/>
        </w:rPr>
      </w:pPr>
      <w:r w:rsidRPr="00833894">
        <w:rPr>
          <w:rFonts w:ascii="Arial" w:hAnsi="Arial" w:cs="Arial"/>
          <w:bCs/>
        </w:rPr>
        <w:t xml:space="preserve">De forma unánime se exige, en respeto al principio de contradicción, la posibilidad de que las manifestaciones de cargo vertidas por el testigo o el </w:t>
      </w:r>
      <w:r w:rsidRPr="00833894">
        <w:rPr>
          <w:rFonts w:ascii="Arial" w:hAnsi="Arial" w:cs="Arial"/>
          <w:bCs/>
        </w:rPr>
        <w:lastRenderedPageBreak/>
        <w:t>coimputado hayan podido ser contrarrestadas en fase sumarial por la defensa del imputado</w:t>
      </w:r>
      <w:r w:rsidRPr="00833894">
        <w:rPr>
          <w:rFonts w:ascii="Arial" w:hAnsi="Arial" w:cs="Arial"/>
        </w:rPr>
        <w:t xml:space="preserve">. En buena parte de los casos, esta posibilidad se hace efectiva mediante la presencia del letrado de la defensa durante la práctica de la declaración de signo incriminatorio, de forma que con su presencia y participación en la diligencia de investigación se garantiza la efectiva contradicción. La problemática desde el punto de vista del valor probatorio de la lectura de la diligencia sumarial se plantea cuando el letrado de la defensa no ha estado presente en la misma. </w:t>
      </w:r>
    </w:p>
    <w:p w:rsidR="00052E34" w:rsidRPr="00833894" w:rsidRDefault="00052E34" w:rsidP="00052E34">
      <w:pPr>
        <w:shd w:val="clear" w:color="auto" w:fill="FFFFFF"/>
        <w:spacing w:before="100" w:beforeAutospacing="1" w:after="240" w:line="360" w:lineRule="auto"/>
        <w:jc w:val="both"/>
        <w:rPr>
          <w:rFonts w:ascii="Arial" w:hAnsi="Arial" w:cs="Arial"/>
        </w:rPr>
      </w:pPr>
      <w:r w:rsidRPr="00833894">
        <w:rPr>
          <w:rFonts w:ascii="Arial" w:hAnsi="Arial" w:cs="Arial"/>
        </w:rPr>
        <w:t xml:space="preserve">Así, </w:t>
      </w:r>
      <w:r w:rsidRPr="00833894">
        <w:rPr>
          <w:rFonts w:ascii="Arial" w:hAnsi="Arial" w:cs="Arial"/>
          <w:bCs/>
        </w:rPr>
        <w:t>si bien en un inicio se entendía que la contradicción sólo se respetaba con la efectiva presencia del letrado a de la defensa a quien afecta la prueba de cargo, esta doctrina se ha ido matizando, admitiendo la validez de la lectura de declaraciones prestadas en fase sumarial en ausencia de la defensa</w:t>
      </w:r>
      <w:r w:rsidRPr="00833894">
        <w:rPr>
          <w:rFonts w:ascii="Arial" w:hAnsi="Arial" w:cs="Arial"/>
        </w:rPr>
        <w:t>. En esos casos, nuestros Tribunales dan diferente respuesta en función de la causa de dicha incomparecencia (</w:t>
      </w:r>
      <w:proofErr w:type="spellStart"/>
      <w:r w:rsidRPr="00833894">
        <w:rPr>
          <w:rFonts w:ascii="Arial" w:hAnsi="Arial" w:cs="Arial"/>
        </w:rPr>
        <w:t>STS1031</w:t>
      </w:r>
      <w:proofErr w:type="spellEnd"/>
      <w:r w:rsidRPr="00833894">
        <w:rPr>
          <w:rFonts w:ascii="Arial" w:hAnsi="Arial" w:cs="Arial"/>
        </w:rPr>
        <w:t xml:space="preserve">/2013 de 12 de diciembre): </w:t>
      </w:r>
      <w:r w:rsidRPr="00833894">
        <w:rPr>
          <w:rFonts w:ascii="Arial" w:hAnsi="Arial" w:cs="Arial"/>
          <w:bCs/>
          <w:iCs/>
        </w:rPr>
        <w:t>"a)</w:t>
      </w:r>
      <w:r w:rsidRPr="00833894">
        <w:rPr>
          <w:rFonts w:ascii="Arial" w:hAnsi="Arial" w:cs="Arial"/>
          <w:iCs/>
        </w:rPr>
        <w:t xml:space="preserve"> Que la falta de contradicción traiga como causa </w:t>
      </w:r>
      <w:r w:rsidRPr="00833894">
        <w:rPr>
          <w:rFonts w:ascii="Arial" w:hAnsi="Arial" w:cs="Arial"/>
          <w:bCs/>
          <w:iCs/>
        </w:rPr>
        <w:t>una conducta desidiosa o negligente o imputable a la parte</w:t>
      </w:r>
      <w:r w:rsidRPr="00833894">
        <w:rPr>
          <w:rFonts w:ascii="Arial" w:hAnsi="Arial" w:cs="Arial"/>
          <w:iCs/>
        </w:rPr>
        <w:t xml:space="preserve"> (estaba en rebeldía; no formuló pregunta alguna; </w:t>
      </w:r>
      <w:proofErr w:type="spellStart"/>
      <w:r w:rsidRPr="00833894">
        <w:rPr>
          <w:rFonts w:ascii="Arial" w:hAnsi="Arial" w:cs="Arial"/>
          <w:iCs/>
        </w:rPr>
        <w:t>incompareció</w:t>
      </w:r>
      <w:proofErr w:type="spellEnd"/>
      <w:r w:rsidRPr="00833894">
        <w:rPr>
          <w:rFonts w:ascii="Arial" w:hAnsi="Arial" w:cs="Arial"/>
          <w:iCs/>
        </w:rPr>
        <w:t xml:space="preserve"> cuando había sido citada; no asistió a la prueba anticipada). </w:t>
      </w:r>
      <w:r w:rsidRPr="00833894">
        <w:rPr>
          <w:rFonts w:ascii="Arial" w:hAnsi="Arial" w:cs="Arial"/>
          <w:bCs/>
          <w:iCs/>
        </w:rPr>
        <w:t>b)</w:t>
      </w:r>
      <w:r w:rsidRPr="00833894">
        <w:rPr>
          <w:rFonts w:ascii="Arial" w:hAnsi="Arial" w:cs="Arial"/>
          <w:iCs/>
        </w:rPr>
        <w:t xml:space="preserve"> La ausencia de una posibilidad de interrogar al testigo de cargo es fruto de una </w:t>
      </w:r>
      <w:r w:rsidRPr="00833894">
        <w:rPr>
          <w:rFonts w:ascii="Arial" w:hAnsi="Arial" w:cs="Arial"/>
          <w:bCs/>
          <w:iCs/>
        </w:rPr>
        <w:t xml:space="preserve">deficiente gestión procesal achacable al órgano judicial </w:t>
      </w:r>
      <w:r w:rsidRPr="00833894">
        <w:rPr>
          <w:rFonts w:ascii="Arial" w:hAnsi="Arial" w:cs="Arial"/>
          <w:iCs/>
        </w:rPr>
        <w:t xml:space="preserve">(no se </w:t>
      </w:r>
      <w:proofErr w:type="spellStart"/>
      <w:r w:rsidRPr="00833894">
        <w:rPr>
          <w:rFonts w:ascii="Arial" w:hAnsi="Arial" w:cs="Arial"/>
          <w:iCs/>
        </w:rPr>
        <w:t>preconstituyó</w:t>
      </w:r>
      <w:proofErr w:type="spellEnd"/>
      <w:r w:rsidRPr="00833894">
        <w:rPr>
          <w:rFonts w:ascii="Arial" w:hAnsi="Arial" w:cs="Arial"/>
          <w:iCs/>
        </w:rPr>
        <w:t xml:space="preserve"> la prueba pese a que las circunstancias invitaban a ello; se omitió la citación de la defensa debidamente personada...).</w:t>
      </w:r>
      <w:r w:rsidRPr="00833894">
        <w:rPr>
          <w:rFonts w:ascii="Arial" w:hAnsi="Arial" w:cs="Arial"/>
          <w:bCs/>
          <w:iCs/>
        </w:rPr>
        <w:t>c)</w:t>
      </w:r>
      <w:r w:rsidRPr="00833894">
        <w:rPr>
          <w:rFonts w:ascii="Arial" w:hAnsi="Arial" w:cs="Arial"/>
          <w:iCs/>
        </w:rPr>
        <w:t xml:space="preserve"> Casos en que esa situación </w:t>
      </w:r>
      <w:r w:rsidRPr="00833894">
        <w:rPr>
          <w:rFonts w:ascii="Arial" w:hAnsi="Arial" w:cs="Arial"/>
          <w:bCs/>
          <w:iCs/>
        </w:rPr>
        <w:t>no es achacable ni a las partes ni a los agentes estatales</w:t>
      </w:r>
      <w:r w:rsidRPr="00833894">
        <w:rPr>
          <w:rFonts w:ascii="Arial" w:hAnsi="Arial" w:cs="Arial"/>
          <w:iCs/>
        </w:rPr>
        <w:t xml:space="preserve"> (el sumario estaba declarado secreto; falleció el testigo inesperadamente; no se había averiguado todavía la identidad del imputado; estaba </w:t>
      </w:r>
      <w:proofErr w:type="spellStart"/>
      <w:r w:rsidRPr="00833894">
        <w:rPr>
          <w:rFonts w:ascii="Arial" w:hAnsi="Arial" w:cs="Arial"/>
          <w:iCs/>
        </w:rPr>
        <w:t>ilocalizado</w:t>
      </w:r>
      <w:proofErr w:type="spellEnd"/>
      <w:r w:rsidRPr="00833894">
        <w:rPr>
          <w:rFonts w:ascii="Arial" w:hAnsi="Arial" w:cs="Arial"/>
          <w:iCs/>
        </w:rPr>
        <w:t>)."</w:t>
      </w:r>
      <w:r w:rsidRPr="00833894">
        <w:rPr>
          <w:rFonts w:ascii="Arial" w:hAnsi="Arial" w:cs="Arial"/>
        </w:rPr>
        <w:t xml:space="preserve"> </w:t>
      </w:r>
    </w:p>
    <w:p w:rsidR="00052E34" w:rsidRPr="00833894" w:rsidRDefault="00052E34" w:rsidP="00052E34">
      <w:pPr>
        <w:shd w:val="clear" w:color="auto" w:fill="FFFFFF"/>
        <w:spacing w:before="100" w:beforeAutospacing="1" w:after="240" w:line="360" w:lineRule="auto"/>
        <w:jc w:val="both"/>
        <w:rPr>
          <w:rFonts w:ascii="Arial" w:hAnsi="Arial" w:cs="Arial"/>
        </w:rPr>
      </w:pPr>
      <w:r w:rsidRPr="00833894">
        <w:rPr>
          <w:rFonts w:ascii="Arial" w:hAnsi="Arial" w:cs="Arial"/>
        </w:rPr>
        <w:t xml:space="preserve">En estos casos, </w:t>
      </w:r>
      <w:r w:rsidRPr="00833894">
        <w:rPr>
          <w:rFonts w:ascii="Arial" w:hAnsi="Arial" w:cs="Arial"/>
          <w:bCs/>
        </w:rPr>
        <w:t>se entiende que para respetar el principio de contradicción no es exigible que la defensa haya interrogado efectivamente al testigo o imputado ausente, sino que basta con que hubiera tenido la posibilidad de interrogar.</w:t>
      </w:r>
      <w:r w:rsidRPr="00833894">
        <w:rPr>
          <w:rFonts w:ascii="Arial" w:hAnsi="Arial" w:cs="Arial"/>
        </w:rPr>
        <w:t xml:space="preserve"> </w:t>
      </w:r>
    </w:p>
    <w:p w:rsidR="00052E34" w:rsidRPr="00833894" w:rsidRDefault="00052E34" w:rsidP="00052E34">
      <w:pPr>
        <w:shd w:val="clear" w:color="auto" w:fill="FFFFFF"/>
        <w:spacing w:before="100" w:beforeAutospacing="1" w:after="240" w:line="360" w:lineRule="auto"/>
        <w:jc w:val="both"/>
        <w:rPr>
          <w:rFonts w:ascii="Arial" w:hAnsi="Arial" w:cs="Arial"/>
        </w:rPr>
      </w:pPr>
      <w:r w:rsidRPr="00833894">
        <w:rPr>
          <w:rFonts w:ascii="Arial" w:hAnsi="Arial" w:cs="Arial"/>
        </w:rPr>
        <w:lastRenderedPageBreak/>
        <w:t>En aplicación del anterior principio, la respuesta para los dos primeros supuestos es clara y unánime: (</w:t>
      </w:r>
      <w:r w:rsidRPr="00833894">
        <w:rPr>
          <w:rFonts w:ascii="Arial" w:hAnsi="Arial" w:cs="Arial"/>
          <w:bCs/>
        </w:rPr>
        <w:t>i</w:t>
      </w:r>
      <w:r w:rsidRPr="00833894">
        <w:rPr>
          <w:rFonts w:ascii="Arial" w:hAnsi="Arial" w:cs="Arial"/>
        </w:rPr>
        <w:t>) en casos de inasistencia imputable al acusado o su defensa, se ha garantizado suficientemente el principio de contradicción, mientras que (</w:t>
      </w:r>
      <w:proofErr w:type="spellStart"/>
      <w:r w:rsidRPr="00833894">
        <w:rPr>
          <w:rFonts w:ascii="Arial" w:hAnsi="Arial" w:cs="Arial"/>
          <w:bCs/>
        </w:rPr>
        <w:t>ii</w:t>
      </w:r>
      <w:proofErr w:type="spellEnd"/>
      <w:r w:rsidRPr="00833894">
        <w:rPr>
          <w:rFonts w:ascii="Arial" w:hAnsi="Arial" w:cs="Arial"/>
        </w:rPr>
        <w:t xml:space="preserve">) la ausencia de interrogatorio efectivo causado por una deficiente gestión no se ha respetado el principio de contradicción y, por ende, ello impide considerar como válida la prueba de cargo introducida vía artículo 730 </w:t>
      </w:r>
      <w:proofErr w:type="spellStart"/>
      <w:r w:rsidRPr="00833894">
        <w:rPr>
          <w:rFonts w:ascii="Arial" w:hAnsi="Arial" w:cs="Arial"/>
        </w:rPr>
        <w:t>Lecrim</w:t>
      </w:r>
      <w:proofErr w:type="spellEnd"/>
      <w:r w:rsidRPr="00833894">
        <w:rPr>
          <w:rFonts w:ascii="Arial" w:hAnsi="Arial" w:cs="Arial"/>
        </w:rPr>
        <w:t xml:space="preserve">. </w:t>
      </w:r>
    </w:p>
    <w:p w:rsidR="00052E34" w:rsidRPr="00833894" w:rsidRDefault="00052E34" w:rsidP="00052E34">
      <w:pPr>
        <w:shd w:val="clear" w:color="auto" w:fill="FFFFFF"/>
        <w:spacing w:before="100" w:beforeAutospacing="1" w:after="240" w:line="360" w:lineRule="auto"/>
        <w:jc w:val="both"/>
        <w:rPr>
          <w:rFonts w:ascii="Arial" w:hAnsi="Arial" w:cs="Arial"/>
        </w:rPr>
      </w:pPr>
      <w:r w:rsidRPr="00833894">
        <w:rPr>
          <w:rFonts w:ascii="Arial" w:hAnsi="Arial" w:cs="Arial"/>
        </w:rPr>
        <w:t xml:space="preserve">La mayor controversia se genera en el último supuesto, en el que la inasistencia de la defensa no es imputable ni a la misma ni al órgano jurisdiccional: la respuesta jurisprudencial no ha sido lineal. Si bien nuestra jurisprudencia coincide en afirmar que las pruebas podrán ser apreciadas en tanto no se configuren como prueba única - en caso de que nos encontremos ante otras pruebas que validen o corroboren la declaración introducida por la vía del 730 </w:t>
      </w:r>
      <w:proofErr w:type="spellStart"/>
      <w:r w:rsidRPr="00833894">
        <w:rPr>
          <w:rFonts w:ascii="Arial" w:hAnsi="Arial" w:cs="Arial"/>
        </w:rPr>
        <w:t>Lecrim</w:t>
      </w:r>
      <w:proofErr w:type="spellEnd"/>
      <w:r w:rsidRPr="00833894">
        <w:rPr>
          <w:rFonts w:ascii="Arial" w:hAnsi="Arial" w:cs="Arial"/>
        </w:rPr>
        <w:t xml:space="preserve">.-, </w:t>
      </w:r>
      <w:r w:rsidRPr="00833894">
        <w:rPr>
          <w:rFonts w:ascii="Arial" w:hAnsi="Arial" w:cs="Arial"/>
          <w:bCs/>
        </w:rPr>
        <w:t>encontramos pronunciamientos dispares en casos en los que la declaración sumarial introducida en juicio oral se constituye como única fuente de prueba de signo acusatorio</w:t>
      </w:r>
      <w:r w:rsidRPr="00833894">
        <w:rPr>
          <w:rFonts w:ascii="Arial" w:hAnsi="Arial" w:cs="Arial"/>
        </w:rPr>
        <w:t>. De esta forma, existen (</w:t>
      </w:r>
      <w:r w:rsidRPr="00833894">
        <w:rPr>
          <w:rFonts w:ascii="Arial" w:hAnsi="Arial" w:cs="Arial"/>
          <w:bCs/>
        </w:rPr>
        <w:t>i</w:t>
      </w:r>
      <w:r w:rsidRPr="00833894">
        <w:rPr>
          <w:rFonts w:ascii="Arial" w:hAnsi="Arial" w:cs="Arial"/>
        </w:rPr>
        <w:t xml:space="preserve">) pronunciamientos que consideran que la ausencia de interrogatorio efectivo no imputable a la parte no respeta los principios de contradicción y, por tanto, la condena fundamentada en las mismas vulnera la presunción de inocencia (en este sentido, </w:t>
      </w:r>
      <w:proofErr w:type="spellStart"/>
      <w:r w:rsidRPr="00833894">
        <w:rPr>
          <w:rFonts w:ascii="Arial" w:hAnsi="Arial" w:cs="Arial"/>
        </w:rPr>
        <w:t>STS</w:t>
      </w:r>
      <w:proofErr w:type="spellEnd"/>
      <w:r w:rsidRPr="00833894">
        <w:rPr>
          <w:rFonts w:ascii="Arial" w:hAnsi="Arial" w:cs="Arial"/>
        </w:rPr>
        <w:t xml:space="preserve"> 326/2015 de 2 de junio, con cita de las Sentencias de 27 de febrero de 2001  (</w:t>
      </w:r>
      <w:proofErr w:type="spellStart"/>
      <w:r w:rsidRPr="00833894">
        <w:rPr>
          <w:rFonts w:ascii="Arial" w:hAnsi="Arial" w:cs="Arial"/>
        </w:rPr>
        <w:t>TEDH</w:t>
      </w:r>
      <w:proofErr w:type="spellEnd"/>
      <w:r w:rsidRPr="00833894">
        <w:rPr>
          <w:rFonts w:ascii="Arial" w:hAnsi="Arial" w:cs="Arial"/>
        </w:rPr>
        <w:t xml:space="preserve"> 2001, 96) y </w:t>
      </w:r>
      <w:proofErr w:type="spellStart"/>
      <w:r w:rsidRPr="00833894">
        <w:rPr>
          <w:rFonts w:ascii="Arial" w:hAnsi="Arial" w:cs="Arial"/>
        </w:rPr>
        <w:t>STDEH</w:t>
      </w:r>
      <w:proofErr w:type="spellEnd"/>
      <w:r w:rsidRPr="00833894">
        <w:rPr>
          <w:rFonts w:ascii="Arial" w:hAnsi="Arial" w:cs="Arial"/>
        </w:rPr>
        <w:t xml:space="preserve"> de 5 diciembre de 2002  (</w:t>
      </w:r>
      <w:proofErr w:type="spellStart"/>
      <w:r w:rsidRPr="00833894">
        <w:rPr>
          <w:rFonts w:ascii="Arial" w:hAnsi="Arial" w:cs="Arial"/>
        </w:rPr>
        <w:t>TEDH</w:t>
      </w:r>
      <w:proofErr w:type="spellEnd"/>
      <w:r w:rsidRPr="00833894">
        <w:rPr>
          <w:rFonts w:ascii="Arial" w:hAnsi="Arial" w:cs="Arial"/>
        </w:rPr>
        <w:t xml:space="preserve"> 2002, 71) , sentencia </w:t>
      </w:r>
      <w:proofErr w:type="spellStart"/>
      <w:r w:rsidRPr="00833894">
        <w:rPr>
          <w:rFonts w:ascii="Arial" w:hAnsi="Arial" w:cs="Arial"/>
        </w:rPr>
        <w:t>Craxi</w:t>
      </w:r>
      <w:proofErr w:type="spellEnd"/>
      <w:r w:rsidRPr="00833894">
        <w:rPr>
          <w:rFonts w:ascii="Arial" w:hAnsi="Arial" w:cs="Arial"/>
        </w:rPr>
        <w:t xml:space="preserve"> contra Italia, en la que </w:t>
      </w:r>
      <w:proofErr w:type="spellStart"/>
      <w:r w:rsidRPr="00833894">
        <w:rPr>
          <w:rFonts w:ascii="Arial" w:hAnsi="Arial" w:cs="Arial"/>
        </w:rPr>
        <w:t>TEDH</w:t>
      </w:r>
      <w:proofErr w:type="spellEnd"/>
      <w:r w:rsidRPr="00833894">
        <w:rPr>
          <w:rFonts w:ascii="Arial" w:hAnsi="Arial" w:cs="Arial"/>
        </w:rPr>
        <w:t xml:space="preserve"> afirma que </w:t>
      </w:r>
      <w:r w:rsidRPr="00833894">
        <w:rPr>
          <w:rFonts w:ascii="Arial" w:hAnsi="Arial" w:cs="Arial"/>
          <w:bCs/>
        </w:rPr>
        <w:t>"</w:t>
      </w:r>
      <w:r w:rsidRPr="00833894">
        <w:rPr>
          <w:rFonts w:ascii="Arial" w:hAnsi="Arial" w:cs="Arial"/>
          <w:bCs/>
          <w:iCs/>
        </w:rPr>
        <w:t>los derechos de defensa son restringidos de modo incompatible con las garantías del art 6º cuando la condena se basa únicamente o de modo determinante en declaraciones hechas por una persona a la que el acusado no ha podido interrogar ni durante la Instrucción, ni durante los debate</w:t>
      </w:r>
      <w:r w:rsidRPr="00833894">
        <w:rPr>
          <w:rFonts w:ascii="Arial" w:hAnsi="Arial" w:cs="Arial"/>
          <w:bCs/>
        </w:rPr>
        <w:t>s</w:t>
      </w:r>
      <w:r w:rsidRPr="00833894">
        <w:rPr>
          <w:rFonts w:ascii="Arial" w:hAnsi="Arial" w:cs="Arial"/>
        </w:rPr>
        <w:t>") y (</w:t>
      </w:r>
      <w:proofErr w:type="spellStart"/>
      <w:r w:rsidRPr="00833894">
        <w:rPr>
          <w:rFonts w:ascii="Arial" w:hAnsi="Arial" w:cs="Arial"/>
          <w:bCs/>
        </w:rPr>
        <w:t>ii</w:t>
      </w:r>
      <w:proofErr w:type="spellEnd"/>
      <w:r w:rsidRPr="00833894">
        <w:rPr>
          <w:rFonts w:ascii="Arial" w:hAnsi="Arial" w:cs="Arial"/>
        </w:rPr>
        <w:t xml:space="preserve">) pronunciamientos que estiman que la posibilidad de contradicción se salva con la presencia del letrado de la defensa durante la fase de instrucción, donde se pueden verter las alegaciones que se estimen oportunas acerca de la </w:t>
      </w:r>
      <w:r w:rsidRPr="00833894">
        <w:rPr>
          <w:rFonts w:ascii="Arial" w:hAnsi="Arial" w:cs="Arial"/>
        </w:rPr>
        <w:lastRenderedPageBreak/>
        <w:t>declaración e incluso instar una nueva declaración (</w:t>
      </w:r>
      <w:proofErr w:type="spellStart"/>
      <w:r w:rsidRPr="00833894">
        <w:rPr>
          <w:rFonts w:ascii="Arial" w:hAnsi="Arial" w:cs="Arial"/>
        </w:rPr>
        <w:t>SSTS</w:t>
      </w:r>
      <w:proofErr w:type="spellEnd"/>
      <w:r w:rsidRPr="00833894">
        <w:rPr>
          <w:rFonts w:ascii="Arial" w:hAnsi="Arial" w:cs="Arial"/>
        </w:rPr>
        <w:t xml:space="preserve"> 513/2015, de 9 de septiembre). </w:t>
      </w:r>
    </w:p>
    <w:p w:rsidR="00052E34" w:rsidRPr="00833894" w:rsidRDefault="00052E34" w:rsidP="00052E34">
      <w:pPr>
        <w:shd w:val="clear" w:color="auto" w:fill="FFFFFF"/>
        <w:spacing w:before="100" w:beforeAutospacing="1" w:after="240" w:line="360" w:lineRule="auto"/>
        <w:jc w:val="both"/>
        <w:rPr>
          <w:rFonts w:ascii="Arial" w:hAnsi="Arial" w:cs="Arial"/>
        </w:rPr>
      </w:pPr>
      <w:r w:rsidRPr="00833894">
        <w:rPr>
          <w:rFonts w:ascii="Arial" w:hAnsi="Arial" w:cs="Arial"/>
        </w:rPr>
        <w:t xml:space="preserve">Junto con los anteriores pronunciamientos opuestos existe, sin embargo, una tercera línea más acertada: se entiende que </w:t>
      </w:r>
      <w:r w:rsidRPr="00833894">
        <w:rPr>
          <w:rFonts w:ascii="Arial" w:hAnsi="Arial" w:cs="Arial"/>
          <w:bCs/>
        </w:rPr>
        <w:t>la ausencia de interrogatorio efectivo no atribuible a la parte ni al órgano judicial, si bien incide y afecta directamente al principio de contradicción, no implica automáticamente la invalidez probatoria</w:t>
      </w:r>
      <w:r w:rsidRPr="00833894">
        <w:rPr>
          <w:rFonts w:ascii="Arial" w:hAnsi="Arial" w:cs="Arial"/>
        </w:rPr>
        <w:t xml:space="preserve">. De esta forma, </w:t>
      </w:r>
      <w:r w:rsidRPr="00833894">
        <w:rPr>
          <w:rFonts w:ascii="Arial" w:hAnsi="Arial" w:cs="Arial"/>
          <w:bCs/>
        </w:rPr>
        <w:t>admitida la regla general del necesario respeto al principio de contradicción, deben valorarse las circunstancias concretas del caso</w:t>
      </w:r>
      <w:r w:rsidRPr="00833894">
        <w:rPr>
          <w:rFonts w:ascii="Arial" w:hAnsi="Arial" w:cs="Arial"/>
        </w:rPr>
        <w:t>, de forma que "</w:t>
      </w:r>
      <w:r w:rsidRPr="00833894">
        <w:rPr>
          <w:rFonts w:ascii="Arial" w:hAnsi="Arial" w:cs="Arial"/>
          <w:iCs/>
        </w:rPr>
        <w:t>se admiten modulaciones ponderadas cuando concurren otros medios suficientemente seguros y resulte adecuado a otros intereses en relieve</w:t>
      </w:r>
      <w:r w:rsidRPr="00833894">
        <w:rPr>
          <w:rFonts w:ascii="Arial" w:hAnsi="Arial" w:cs="Arial"/>
        </w:rPr>
        <w:t>" (</w:t>
      </w:r>
      <w:proofErr w:type="spellStart"/>
      <w:r w:rsidRPr="00833894">
        <w:rPr>
          <w:rFonts w:ascii="Arial" w:hAnsi="Arial" w:cs="Arial"/>
        </w:rPr>
        <w:t>SSTS</w:t>
      </w:r>
      <w:proofErr w:type="spellEnd"/>
      <w:r w:rsidRPr="00833894">
        <w:rPr>
          <w:rFonts w:ascii="Arial" w:hAnsi="Arial" w:cs="Arial"/>
        </w:rPr>
        <w:t xml:space="preserve"> 1031/2013 de 12 de diciembre, que admite la validez de la introducción de una declaración sumarial del testigo ausente al que pudieron interrogar otras defensas con intereses no contrapuestos). </w:t>
      </w:r>
    </w:p>
    <w:p w:rsidR="00052E34" w:rsidRPr="00833894" w:rsidRDefault="00052E34" w:rsidP="00052E34">
      <w:pPr>
        <w:shd w:val="clear" w:color="auto" w:fill="FFFFFF"/>
        <w:spacing w:before="100" w:beforeAutospacing="1" w:after="240" w:line="360" w:lineRule="auto"/>
        <w:jc w:val="both"/>
        <w:rPr>
          <w:rFonts w:ascii="Arial" w:hAnsi="Arial" w:cs="Arial"/>
        </w:rPr>
      </w:pPr>
      <w:r w:rsidRPr="00833894">
        <w:rPr>
          <w:rFonts w:ascii="Arial" w:hAnsi="Arial" w:cs="Arial"/>
        </w:rPr>
        <w:t xml:space="preserve">En suma, </w:t>
      </w:r>
      <w:r w:rsidRPr="00833894">
        <w:rPr>
          <w:rFonts w:ascii="Arial" w:hAnsi="Arial" w:cs="Arial"/>
          <w:bCs/>
        </w:rPr>
        <w:t xml:space="preserve">se permite la introducción y valoración como única prueba de cargo de declaraciones sumariales vía 730 </w:t>
      </w:r>
      <w:proofErr w:type="spellStart"/>
      <w:r w:rsidRPr="00833894">
        <w:rPr>
          <w:rFonts w:ascii="Arial" w:hAnsi="Arial" w:cs="Arial"/>
          <w:bCs/>
        </w:rPr>
        <w:t>Lecrim</w:t>
      </w:r>
      <w:proofErr w:type="spellEnd"/>
      <w:r w:rsidRPr="00833894">
        <w:rPr>
          <w:rFonts w:ascii="Arial" w:hAnsi="Arial" w:cs="Arial"/>
          <w:bCs/>
        </w:rPr>
        <w:t xml:space="preserve">. </w:t>
      </w:r>
      <w:proofErr w:type="gramStart"/>
      <w:r w:rsidRPr="00833894">
        <w:rPr>
          <w:rFonts w:ascii="Arial" w:hAnsi="Arial" w:cs="Arial"/>
          <w:bCs/>
        </w:rPr>
        <w:t>aun</w:t>
      </w:r>
      <w:proofErr w:type="gramEnd"/>
      <w:r w:rsidRPr="00833894">
        <w:rPr>
          <w:rFonts w:ascii="Arial" w:hAnsi="Arial" w:cs="Arial"/>
          <w:bCs/>
        </w:rPr>
        <w:t xml:space="preserve"> cuando la defensa no haya participado efectivamente en las mismas, siendo controvertidos aquellos casos en los que la ausencia de interrogatorio efectivo no es imputable ni a la defensa ni al órgano judicial, polémica que debe resolverse caso por caso en función de las restantes circunstancias concurrentes del caso</w:t>
      </w:r>
      <w:r w:rsidRPr="00833894">
        <w:rPr>
          <w:rFonts w:ascii="Arial" w:hAnsi="Arial" w:cs="Arial"/>
        </w:rPr>
        <w:t xml:space="preserve">. </w:t>
      </w:r>
      <w:hyperlink r:id="rId8" w:history="1">
        <w:r w:rsidRPr="00833894">
          <w:rPr>
            <w:rFonts w:ascii="Arial" w:hAnsi="Arial" w:cs="Arial"/>
          </w:rPr>
          <w:t xml:space="preserve">Paula </w:t>
        </w:r>
        <w:proofErr w:type="spellStart"/>
        <w:r w:rsidRPr="00833894">
          <w:rPr>
            <w:rFonts w:ascii="Arial" w:hAnsi="Arial" w:cs="Arial"/>
          </w:rPr>
          <w:t>Yebra</w:t>
        </w:r>
        <w:proofErr w:type="spellEnd"/>
        <w:r w:rsidRPr="00833894">
          <w:rPr>
            <w:rFonts w:ascii="Arial" w:hAnsi="Arial" w:cs="Arial"/>
          </w:rPr>
          <w:t xml:space="preserve"> Gago</w:t>
        </w:r>
      </w:hyperlink>
      <w:r w:rsidRPr="00833894">
        <w:rPr>
          <w:rFonts w:ascii="Arial" w:hAnsi="Arial" w:cs="Arial"/>
        </w:rPr>
        <w:t>, abogada</w:t>
      </w:r>
    </w:p>
    <w:p w:rsidR="00052E34" w:rsidRPr="00833894" w:rsidRDefault="00052E34" w:rsidP="00052E34">
      <w:pPr>
        <w:shd w:val="clear" w:color="auto" w:fill="FFFFFF"/>
        <w:spacing w:before="100" w:beforeAutospacing="1" w:after="240" w:line="360" w:lineRule="auto"/>
        <w:jc w:val="both"/>
        <w:rPr>
          <w:rFonts w:ascii="Arial" w:hAnsi="Arial" w:cs="Arial"/>
        </w:rPr>
      </w:pPr>
    </w:p>
    <w:p w:rsidR="00052E34" w:rsidRPr="00833894" w:rsidRDefault="00052E34" w:rsidP="00052E34">
      <w:pPr>
        <w:spacing w:line="360" w:lineRule="auto"/>
        <w:jc w:val="both"/>
        <w:rPr>
          <w:rFonts w:ascii="Arial" w:hAnsi="Arial" w:cs="Arial"/>
        </w:rPr>
      </w:pPr>
    </w:p>
    <w:p w:rsidR="00CA7EDD" w:rsidRPr="006A67FB" w:rsidRDefault="00CA7EDD" w:rsidP="00CA7EDD">
      <w:pPr>
        <w:spacing w:line="360" w:lineRule="auto"/>
        <w:jc w:val="both"/>
        <w:rPr>
          <w:rFonts w:ascii="Arial" w:hAnsi="Arial" w:cs="Arial"/>
        </w:rPr>
      </w:pPr>
    </w:p>
    <w:p w:rsidR="000457B5" w:rsidRPr="000B5F1E" w:rsidRDefault="000457B5" w:rsidP="000457B5">
      <w:pPr>
        <w:pStyle w:val="NormalWeb"/>
        <w:spacing w:line="360" w:lineRule="auto"/>
        <w:jc w:val="both"/>
        <w:rPr>
          <w:rFonts w:ascii="Arial" w:hAnsi="Arial" w:cs="Arial"/>
        </w:rPr>
      </w:pPr>
    </w:p>
    <w:p w:rsidR="005B6F38" w:rsidRPr="0031346A" w:rsidRDefault="000457B5" w:rsidP="003E0849">
      <w:pPr>
        <w:pStyle w:val="NormalWeb"/>
        <w:spacing w:line="360" w:lineRule="auto"/>
        <w:ind w:left="1440"/>
        <w:jc w:val="both"/>
        <w:rPr>
          <w:rFonts w:ascii="Arial" w:hAnsi="Arial" w:cs="Arial"/>
        </w:rPr>
      </w:pPr>
      <w:r>
        <w:rPr>
          <w:rFonts w:ascii="Arial" w:hAnsi="Arial" w:cs="Arial"/>
          <w:b/>
        </w:rPr>
        <w:t xml:space="preserve"> </w:t>
      </w:r>
    </w:p>
    <w:p w:rsidR="00E9104D" w:rsidRDefault="00E9104D" w:rsidP="00E9104D">
      <w:pPr>
        <w:pStyle w:val="NormalWeb"/>
        <w:spacing w:line="360" w:lineRule="auto"/>
        <w:jc w:val="both"/>
        <w:rPr>
          <w:rFonts w:ascii="Arial" w:hAnsi="Arial" w:cs="Arial"/>
        </w:rPr>
      </w:pPr>
    </w:p>
    <w:p w:rsidR="009F494C" w:rsidRDefault="009F494C" w:rsidP="00E9104D">
      <w:pPr>
        <w:pStyle w:val="NormalWeb"/>
        <w:spacing w:line="360" w:lineRule="auto"/>
        <w:jc w:val="both"/>
        <w:rPr>
          <w:rFonts w:ascii="Arial" w:hAnsi="Arial" w:cs="Arial"/>
        </w:rPr>
      </w:pPr>
    </w:p>
    <w:p w:rsidR="00A97619" w:rsidRDefault="00A97619" w:rsidP="00484304">
      <w:pPr>
        <w:spacing w:line="360" w:lineRule="auto"/>
        <w:jc w:val="both"/>
        <w:rPr>
          <w:rFonts w:ascii="Arial" w:hAnsi="Arial" w:cs="Arial"/>
        </w:rPr>
      </w:pPr>
    </w:p>
    <w:p w:rsidR="00A97619" w:rsidRPr="00484304" w:rsidRDefault="00A97619" w:rsidP="00484304">
      <w:pPr>
        <w:spacing w:line="360" w:lineRule="auto"/>
        <w:jc w:val="both"/>
        <w:rPr>
          <w:rFonts w:ascii="Arial" w:hAnsi="Arial" w:cs="Arial"/>
        </w:rPr>
      </w:pPr>
    </w:p>
    <w:p w:rsidR="00447F11" w:rsidRPr="00484304" w:rsidRDefault="00EF42E4" w:rsidP="00484304">
      <w:pPr>
        <w:spacing w:line="360" w:lineRule="auto"/>
        <w:jc w:val="both"/>
        <w:rPr>
          <w:rFonts w:ascii="Arial" w:hAnsi="Arial" w:cs="Arial"/>
        </w:rPr>
      </w:pPr>
      <w:r w:rsidRPr="00484304">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9"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005AFB" w:rsidRPr="00484304" w:rsidRDefault="00005AFB" w:rsidP="00484304">
      <w:pPr>
        <w:spacing w:line="360" w:lineRule="auto"/>
        <w:jc w:val="both"/>
        <w:rPr>
          <w:rFonts w:ascii="Arial" w:hAnsi="Arial" w:cs="Arial"/>
        </w:rPr>
      </w:pPr>
    </w:p>
    <w:p w:rsidR="00005AFB" w:rsidRPr="00484304" w:rsidRDefault="00005AFB" w:rsidP="00484304">
      <w:pPr>
        <w:spacing w:line="360" w:lineRule="auto"/>
        <w:jc w:val="both"/>
        <w:rPr>
          <w:rFonts w:ascii="Arial" w:hAnsi="Arial" w:cs="Arial"/>
        </w:rPr>
      </w:pPr>
    </w:p>
    <w:p w:rsidR="00D02291" w:rsidRPr="00484304" w:rsidRDefault="00D02291" w:rsidP="00484304">
      <w:pPr>
        <w:pStyle w:val="NormalWeb"/>
        <w:spacing w:before="0" w:beforeAutospacing="0" w:after="0" w:afterAutospacing="0" w:line="360" w:lineRule="auto"/>
        <w:jc w:val="both"/>
        <w:rPr>
          <w:rFonts w:ascii="Arial" w:hAnsi="Arial" w:cs="Arial"/>
        </w:rPr>
      </w:pPr>
    </w:p>
    <w:sectPr w:rsidR="00D02291" w:rsidRPr="00484304" w:rsidSect="00963829">
      <w:headerReference w:type="even" r:id="rId10"/>
      <w:headerReference w:type="default" r:id="rId11"/>
      <w:footerReference w:type="even" r:id="rId12"/>
      <w:footerReference w:type="default" r:id="rId13"/>
      <w:headerReference w:type="first" r:id="rId14"/>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831" w:rsidRDefault="00797831">
      <w:r>
        <w:separator/>
      </w:r>
    </w:p>
  </w:endnote>
  <w:endnote w:type="continuationSeparator" w:id="0">
    <w:p w:rsidR="00797831" w:rsidRDefault="0079783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B7EAE"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B7EAE"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A362F1">
      <w:rPr>
        <w:rStyle w:val="Nmerodepgina"/>
        <w:noProof/>
      </w:rPr>
      <w:t>3</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w:t>
    </w:r>
    <w:proofErr w:type="spellStart"/>
    <w:r>
      <w:rPr>
        <w:rFonts w:ascii="Arial" w:hAnsi="Arial" w:cs="Arial"/>
        <w:sz w:val="16"/>
        <w:szCs w:val="16"/>
      </w:rPr>
      <w:t>875f</w:t>
    </w:r>
    <w:proofErr w:type="spellEnd"/>
  </w:p>
  <w:p w:rsidR="00247F1A" w:rsidRPr="00741184" w:rsidRDefault="00247F1A" w:rsidP="00741184">
    <w:pPr>
      <w:pStyle w:val="Piedepgina"/>
      <w:jc w:val="center"/>
      <w:rPr>
        <w:rFonts w:ascii="Arial" w:hAnsi="Arial" w:cs="Arial"/>
        <w:sz w:val="16"/>
        <w:szCs w:val="16"/>
      </w:rPr>
    </w:pPr>
    <w:proofErr w:type="spellStart"/>
    <w:r>
      <w:rPr>
        <w:rFonts w:ascii="Arial" w:hAnsi="Arial" w:cs="Arial"/>
        <w:sz w:val="16"/>
        <w:szCs w:val="16"/>
      </w:rPr>
      <w:t>www.alfredogarcialopez.es</w:t>
    </w:r>
    <w:r w:rsidR="00EF669D">
      <w:rPr>
        <w:rFonts w:ascii="Arial" w:hAnsi="Arial" w:cs="Arial"/>
        <w:sz w:val="16"/>
        <w:szCs w:val="16"/>
      </w:rPr>
      <w:t>/com</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831" w:rsidRDefault="00797831">
      <w:r>
        <w:separator/>
      </w:r>
    </w:p>
  </w:footnote>
  <w:footnote w:type="continuationSeparator" w:id="0">
    <w:p w:rsidR="00797831" w:rsidRDefault="007978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B7EA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B7EAE"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B7EA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5"/>
  </w:num>
  <w:num w:numId="3">
    <w:abstractNumId w:val="21"/>
  </w:num>
  <w:num w:numId="4">
    <w:abstractNumId w:val="27"/>
  </w:num>
  <w:num w:numId="5">
    <w:abstractNumId w:val="33"/>
  </w:num>
  <w:num w:numId="6">
    <w:abstractNumId w:val="18"/>
    <w:lvlOverride w:ilvl="0">
      <w:lvl w:ilvl="0">
        <w:numFmt w:val="decimal"/>
        <w:lvlText w:val="%1."/>
        <w:lvlJc w:val="left"/>
      </w:lvl>
    </w:lvlOverride>
  </w:num>
  <w:num w:numId="7">
    <w:abstractNumId w:val="17"/>
  </w:num>
  <w:num w:numId="8">
    <w:abstractNumId w:val="12"/>
  </w:num>
  <w:num w:numId="9">
    <w:abstractNumId w:val="24"/>
  </w:num>
  <w:num w:numId="10">
    <w:abstractNumId w:val="20"/>
  </w:num>
  <w:num w:numId="11">
    <w:abstractNumId w:val="13"/>
  </w:num>
  <w:num w:numId="12">
    <w:abstractNumId w:val="28"/>
  </w:num>
  <w:num w:numId="13">
    <w:abstractNumId w:val="14"/>
  </w:num>
  <w:num w:numId="14">
    <w:abstractNumId w:val="15"/>
  </w:num>
  <w:num w:numId="15">
    <w:abstractNumId w:val="29"/>
  </w:num>
  <w:num w:numId="16">
    <w:abstractNumId w:val="32"/>
  </w:num>
  <w:num w:numId="17">
    <w:abstractNumId w:val="34"/>
  </w:num>
  <w:num w:numId="18">
    <w:abstractNumId w:val="36"/>
  </w:num>
  <w:num w:numId="19">
    <w:abstractNumId w:val="35"/>
  </w:num>
  <w:num w:numId="20">
    <w:abstractNumId w:val="31"/>
  </w:num>
  <w:num w:numId="21">
    <w:abstractNumId w:val="37"/>
  </w:num>
  <w:num w:numId="22">
    <w:abstractNumId w:val="11"/>
  </w:num>
  <w:num w:numId="23">
    <w:abstractNumId w:val="40"/>
  </w:num>
  <w:num w:numId="24">
    <w:abstractNumId w:val="19"/>
  </w:num>
  <w:num w:numId="25">
    <w:abstractNumId w:val="30"/>
  </w:num>
  <w:num w:numId="26">
    <w:abstractNumId w:val="39"/>
  </w:num>
  <w:num w:numId="27">
    <w:abstractNumId w:val="26"/>
  </w:num>
  <w:num w:numId="28">
    <w:abstractNumId w:val="10"/>
  </w:num>
  <w:num w:numId="29">
    <w:abstractNumId w:val="38"/>
  </w:num>
  <w:num w:numId="30">
    <w:abstractNumId w:val="22"/>
  </w:num>
  <w:num w:numId="31">
    <w:abstractNumId w:val="23"/>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grammar="clean"/>
  <w:stylePaneFormatFilter w:val="3F01"/>
  <w:defaultTabStop w:val="708"/>
  <w:hyphenationZone w:val="425"/>
  <w:characterSpacingControl w:val="doNotCompress"/>
  <w:hdrShapeDefaults>
    <o:shapedefaults v:ext="edit" spidmax="474114"/>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57B5"/>
    <w:rsid w:val="00046A79"/>
    <w:rsid w:val="00051042"/>
    <w:rsid w:val="000516A3"/>
    <w:rsid w:val="00052E34"/>
    <w:rsid w:val="00053264"/>
    <w:rsid w:val="0005441C"/>
    <w:rsid w:val="000546BE"/>
    <w:rsid w:val="0005559E"/>
    <w:rsid w:val="00063CF8"/>
    <w:rsid w:val="00067615"/>
    <w:rsid w:val="000677B4"/>
    <w:rsid w:val="00067EEE"/>
    <w:rsid w:val="00072160"/>
    <w:rsid w:val="00073B7E"/>
    <w:rsid w:val="000743A0"/>
    <w:rsid w:val="00075026"/>
    <w:rsid w:val="00076312"/>
    <w:rsid w:val="00077A88"/>
    <w:rsid w:val="000825EC"/>
    <w:rsid w:val="00083E4E"/>
    <w:rsid w:val="00086F28"/>
    <w:rsid w:val="000873CF"/>
    <w:rsid w:val="000915CD"/>
    <w:rsid w:val="00096DA1"/>
    <w:rsid w:val="000A133F"/>
    <w:rsid w:val="000A3582"/>
    <w:rsid w:val="000A6A5F"/>
    <w:rsid w:val="000B30D9"/>
    <w:rsid w:val="000C2041"/>
    <w:rsid w:val="000C22DA"/>
    <w:rsid w:val="000C337E"/>
    <w:rsid w:val="000C3873"/>
    <w:rsid w:val="000C47AE"/>
    <w:rsid w:val="000C4953"/>
    <w:rsid w:val="000D5D61"/>
    <w:rsid w:val="000D6B11"/>
    <w:rsid w:val="000E1823"/>
    <w:rsid w:val="000E27E7"/>
    <w:rsid w:val="000F1749"/>
    <w:rsid w:val="000F7844"/>
    <w:rsid w:val="0010060C"/>
    <w:rsid w:val="0010178D"/>
    <w:rsid w:val="00101CFD"/>
    <w:rsid w:val="00101E4E"/>
    <w:rsid w:val="0011301C"/>
    <w:rsid w:val="0011338B"/>
    <w:rsid w:val="001172ED"/>
    <w:rsid w:val="00117C70"/>
    <w:rsid w:val="001204C1"/>
    <w:rsid w:val="00122D88"/>
    <w:rsid w:val="00123215"/>
    <w:rsid w:val="001232BE"/>
    <w:rsid w:val="00124EA1"/>
    <w:rsid w:val="00126642"/>
    <w:rsid w:val="00131CFB"/>
    <w:rsid w:val="001360FD"/>
    <w:rsid w:val="00136165"/>
    <w:rsid w:val="00137AEE"/>
    <w:rsid w:val="00140D3C"/>
    <w:rsid w:val="00140F44"/>
    <w:rsid w:val="00142C8E"/>
    <w:rsid w:val="0014307B"/>
    <w:rsid w:val="00143B44"/>
    <w:rsid w:val="00144AB1"/>
    <w:rsid w:val="00145211"/>
    <w:rsid w:val="00146353"/>
    <w:rsid w:val="00146577"/>
    <w:rsid w:val="00150E4E"/>
    <w:rsid w:val="0015267B"/>
    <w:rsid w:val="00153427"/>
    <w:rsid w:val="001543FF"/>
    <w:rsid w:val="00155032"/>
    <w:rsid w:val="00155425"/>
    <w:rsid w:val="00157604"/>
    <w:rsid w:val="00162E93"/>
    <w:rsid w:val="00163318"/>
    <w:rsid w:val="0016353A"/>
    <w:rsid w:val="00165508"/>
    <w:rsid w:val="00166951"/>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5F6F"/>
    <w:rsid w:val="001F194A"/>
    <w:rsid w:val="001F2637"/>
    <w:rsid w:val="001F56C0"/>
    <w:rsid w:val="00202275"/>
    <w:rsid w:val="00204913"/>
    <w:rsid w:val="002054C7"/>
    <w:rsid w:val="00206865"/>
    <w:rsid w:val="00214BAE"/>
    <w:rsid w:val="0021672E"/>
    <w:rsid w:val="00222D9D"/>
    <w:rsid w:val="00224282"/>
    <w:rsid w:val="00225477"/>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1EEC"/>
    <w:rsid w:val="002661E3"/>
    <w:rsid w:val="00266FF5"/>
    <w:rsid w:val="00267153"/>
    <w:rsid w:val="00270928"/>
    <w:rsid w:val="002744D4"/>
    <w:rsid w:val="002759CE"/>
    <w:rsid w:val="00282546"/>
    <w:rsid w:val="00283E8B"/>
    <w:rsid w:val="00284FAC"/>
    <w:rsid w:val="002860A4"/>
    <w:rsid w:val="002863E2"/>
    <w:rsid w:val="00287D71"/>
    <w:rsid w:val="002A0150"/>
    <w:rsid w:val="002A06DB"/>
    <w:rsid w:val="002A2EE4"/>
    <w:rsid w:val="002A6352"/>
    <w:rsid w:val="002A670B"/>
    <w:rsid w:val="002B04BE"/>
    <w:rsid w:val="002B268C"/>
    <w:rsid w:val="002B4021"/>
    <w:rsid w:val="002B579C"/>
    <w:rsid w:val="002B6667"/>
    <w:rsid w:val="002B7B7F"/>
    <w:rsid w:val="002C2243"/>
    <w:rsid w:val="002C61B5"/>
    <w:rsid w:val="002D11AD"/>
    <w:rsid w:val="002D21BE"/>
    <w:rsid w:val="002D2ED2"/>
    <w:rsid w:val="002D32FE"/>
    <w:rsid w:val="002D50B8"/>
    <w:rsid w:val="002E053F"/>
    <w:rsid w:val="002E3AC7"/>
    <w:rsid w:val="002E3BC0"/>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3572"/>
    <w:rsid w:val="00323FC4"/>
    <w:rsid w:val="0032491A"/>
    <w:rsid w:val="0032681D"/>
    <w:rsid w:val="00326C83"/>
    <w:rsid w:val="00331994"/>
    <w:rsid w:val="00332AC6"/>
    <w:rsid w:val="00332F1F"/>
    <w:rsid w:val="00336A68"/>
    <w:rsid w:val="003416DE"/>
    <w:rsid w:val="003458AA"/>
    <w:rsid w:val="00350383"/>
    <w:rsid w:val="00351ABF"/>
    <w:rsid w:val="00357DD2"/>
    <w:rsid w:val="00361A96"/>
    <w:rsid w:val="00365E50"/>
    <w:rsid w:val="0036668D"/>
    <w:rsid w:val="00366E63"/>
    <w:rsid w:val="003672E1"/>
    <w:rsid w:val="0036733A"/>
    <w:rsid w:val="00367EC5"/>
    <w:rsid w:val="00372666"/>
    <w:rsid w:val="00373292"/>
    <w:rsid w:val="003737F2"/>
    <w:rsid w:val="00374027"/>
    <w:rsid w:val="00393327"/>
    <w:rsid w:val="003A1F2B"/>
    <w:rsid w:val="003A3123"/>
    <w:rsid w:val="003B28C1"/>
    <w:rsid w:val="003B4424"/>
    <w:rsid w:val="003B5346"/>
    <w:rsid w:val="003B6C70"/>
    <w:rsid w:val="003B6FA8"/>
    <w:rsid w:val="003B70A6"/>
    <w:rsid w:val="003B736D"/>
    <w:rsid w:val="003C0CCA"/>
    <w:rsid w:val="003C1F2E"/>
    <w:rsid w:val="003C242B"/>
    <w:rsid w:val="003D0308"/>
    <w:rsid w:val="003D1CE9"/>
    <w:rsid w:val="003D31EA"/>
    <w:rsid w:val="003D5696"/>
    <w:rsid w:val="003D5A4F"/>
    <w:rsid w:val="003D694C"/>
    <w:rsid w:val="003D6F6A"/>
    <w:rsid w:val="003E0849"/>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3028"/>
    <w:rsid w:val="00434F53"/>
    <w:rsid w:val="0044211B"/>
    <w:rsid w:val="00444A6A"/>
    <w:rsid w:val="00444E9C"/>
    <w:rsid w:val="00445C86"/>
    <w:rsid w:val="00446F88"/>
    <w:rsid w:val="00447A97"/>
    <w:rsid w:val="00447B6D"/>
    <w:rsid w:val="00447F11"/>
    <w:rsid w:val="00450935"/>
    <w:rsid w:val="00451F0E"/>
    <w:rsid w:val="00453887"/>
    <w:rsid w:val="00453DE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2021"/>
    <w:rsid w:val="004A4482"/>
    <w:rsid w:val="004A6D3B"/>
    <w:rsid w:val="004B28BD"/>
    <w:rsid w:val="004B7EAE"/>
    <w:rsid w:val="004C1C76"/>
    <w:rsid w:val="004C1F35"/>
    <w:rsid w:val="004C2912"/>
    <w:rsid w:val="004C358F"/>
    <w:rsid w:val="004C4D7A"/>
    <w:rsid w:val="004C4DD6"/>
    <w:rsid w:val="004C5EF2"/>
    <w:rsid w:val="004D1089"/>
    <w:rsid w:val="004D11E2"/>
    <w:rsid w:val="004D157E"/>
    <w:rsid w:val="004D231A"/>
    <w:rsid w:val="004D2CC9"/>
    <w:rsid w:val="004D4741"/>
    <w:rsid w:val="004D4815"/>
    <w:rsid w:val="004D57A3"/>
    <w:rsid w:val="004D7C75"/>
    <w:rsid w:val="004E07F8"/>
    <w:rsid w:val="004E0928"/>
    <w:rsid w:val="004E737A"/>
    <w:rsid w:val="004F1AE6"/>
    <w:rsid w:val="004F39A9"/>
    <w:rsid w:val="004F4321"/>
    <w:rsid w:val="004F494F"/>
    <w:rsid w:val="004F7038"/>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B9D"/>
    <w:rsid w:val="00595E1F"/>
    <w:rsid w:val="00597940"/>
    <w:rsid w:val="005B2316"/>
    <w:rsid w:val="005B364E"/>
    <w:rsid w:val="005B4DE8"/>
    <w:rsid w:val="005B56D9"/>
    <w:rsid w:val="005B6F38"/>
    <w:rsid w:val="005B75C9"/>
    <w:rsid w:val="005C19B9"/>
    <w:rsid w:val="005C42C4"/>
    <w:rsid w:val="005C523E"/>
    <w:rsid w:val="005D24D0"/>
    <w:rsid w:val="005D3C55"/>
    <w:rsid w:val="005D7F03"/>
    <w:rsid w:val="005E548E"/>
    <w:rsid w:val="005E56CF"/>
    <w:rsid w:val="005F23CF"/>
    <w:rsid w:val="005F41D2"/>
    <w:rsid w:val="005F6243"/>
    <w:rsid w:val="005F7C83"/>
    <w:rsid w:val="0060154D"/>
    <w:rsid w:val="00605E0D"/>
    <w:rsid w:val="0061004A"/>
    <w:rsid w:val="00621861"/>
    <w:rsid w:val="0063047C"/>
    <w:rsid w:val="0063121F"/>
    <w:rsid w:val="00632790"/>
    <w:rsid w:val="006338D1"/>
    <w:rsid w:val="00643141"/>
    <w:rsid w:val="006505F3"/>
    <w:rsid w:val="00655691"/>
    <w:rsid w:val="00657119"/>
    <w:rsid w:val="00657BF6"/>
    <w:rsid w:val="0066098A"/>
    <w:rsid w:val="0066302C"/>
    <w:rsid w:val="006631FB"/>
    <w:rsid w:val="006636A4"/>
    <w:rsid w:val="00664269"/>
    <w:rsid w:val="00664504"/>
    <w:rsid w:val="006716D9"/>
    <w:rsid w:val="00676AA2"/>
    <w:rsid w:val="006774FA"/>
    <w:rsid w:val="00681C99"/>
    <w:rsid w:val="00682A57"/>
    <w:rsid w:val="00684CF4"/>
    <w:rsid w:val="006877B4"/>
    <w:rsid w:val="006928C9"/>
    <w:rsid w:val="006930B8"/>
    <w:rsid w:val="006936BB"/>
    <w:rsid w:val="00694729"/>
    <w:rsid w:val="006949F3"/>
    <w:rsid w:val="00697334"/>
    <w:rsid w:val="006A1490"/>
    <w:rsid w:val="006A1BCD"/>
    <w:rsid w:val="006A4E17"/>
    <w:rsid w:val="006A5309"/>
    <w:rsid w:val="006A61E4"/>
    <w:rsid w:val="006B159B"/>
    <w:rsid w:val="006B447B"/>
    <w:rsid w:val="006C0996"/>
    <w:rsid w:val="006C1DC1"/>
    <w:rsid w:val="006C350A"/>
    <w:rsid w:val="006C3DA2"/>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7478"/>
    <w:rsid w:val="00721D3E"/>
    <w:rsid w:val="00722C56"/>
    <w:rsid w:val="007252D3"/>
    <w:rsid w:val="00727120"/>
    <w:rsid w:val="00727173"/>
    <w:rsid w:val="0072781A"/>
    <w:rsid w:val="00730F24"/>
    <w:rsid w:val="00731EBB"/>
    <w:rsid w:val="007320B2"/>
    <w:rsid w:val="007348FE"/>
    <w:rsid w:val="00734A63"/>
    <w:rsid w:val="00734BA9"/>
    <w:rsid w:val="00741184"/>
    <w:rsid w:val="007419EB"/>
    <w:rsid w:val="00743988"/>
    <w:rsid w:val="007440F5"/>
    <w:rsid w:val="0074498C"/>
    <w:rsid w:val="007465D8"/>
    <w:rsid w:val="00747158"/>
    <w:rsid w:val="00760140"/>
    <w:rsid w:val="00760ECB"/>
    <w:rsid w:val="007635F9"/>
    <w:rsid w:val="00763C44"/>
    <w:rsid w:val="00765E89"/>
    <w:rsid w:val="00767711"/>
    <w:rsid w:val="00767F47"/>
    <w:rsid w:val="00772E66"/>
    <w:rsid w:val="0077398E"/>
    <w:rsid w:val="007771EA"/>
    <w:rsid w:val="00782C76"/>
    <w:rsid w:val="007855E5"/>
    <w:rsid w:val="00786044"/>
    <w:rsid w:val="00786F4F"/>
    <w:rsid w:val="00792B95"/>
    <w:rsid w:val="00793A58"/>
    <w:rsid w:val="00793DAF"/>
    <w:rsid w:val="007969C0"/>
    <w:rsid w:val="00797717"/>
    <w:rsid w:val="00797831"/>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5FD3"/>
    <w:rsid w:val="007E7D5A"/>
    <w:rsid w:val="007F12CE"/>
    <w:rsid w:val="007F3791"/>
    <w:rsid w:val="007F497A"/>
    <w:rsid w:val="00800E14"/>
    <w:rsid w:val="008019F1"/>
    <w:rsid w:val="00804079"/>
    <w:rsid w:val="008042FD"/>
    <w:rsid w:val="00806BD3"/>
    <w:rsid w:val="00815FBD"/>
    <w:rsid w:val="008162AD"/>
    <w:rsid w:val="00817F2A"/>
    <w:rsid w:val="00825050"/>
    <w:rsid w:val="00832245"/>
    <w:rsid w:val="008343D7"/>
    <w:rsid w:val="00840498"/>
    <w:rsid w:val="00841973"/>
    <w:rsid w:val="00843326"/>
    <w:rsid w:val="0084497B"/>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39CF"/>
    <w:rsid w:val="00883B42"/>
    <w:rsid w:val="0088710E"/>
    <w:rsid w:val="00890667"/>
    <w:rsid w:val="008916FC"/>
    <w:rsid w:val="00895754"/>
    <w:rsid w:val="008A04B0"/>
    <w:rsid w:val="008A7198"/>
    <w:rsid w:val="008B1379"/>
    <w:rsid w:val="008B1469"/>
    <w:rsid w:val="008B271D"/>
    <w:rsid w:val="008B475A"/>
    <w:rsid w:val="008B6D39"/>
    <w:rsid w:val="008C05D0"/>
    <w:rsid w:val="008C1D08"/>
    <w:rsid w:val="008D740A"/>
    <w:rsid w:val="008E5B16"/>
    <w:rsid w:val="008E7057"/>
    <w:rsid w:val="008F00DE"/>
    <w:rsid w:val="008F073F"/>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27E4D"/>
    <w:rsid w:val="009361FA"/>
    <w:rsid w:val="009416AE"/>
    <w:rsid w:val="009422B8"/>
    <w:rsid w:val="009426CD"/>
    <w:rsid w:val="009438A7"/>
    <w:rsid w:val="00946110"/>
    <w:rsid w:val="00947AA3"/>
    <w:rsid w:val="00947BA6"/>
    <w:rsid w:val="00960B1B"/>
    <w:rsid w:val="00963694"/>
    <w:rsid w:val="00963829"/>
    <w:rsid w:val="009653C8"/>
    <w:rsid w:val="0096679C"/>
    <w:rsid w:val="00967966"/>
    <w:rsid w:val="00971FA9"/>
    <w:rsid w:val="00972339"/>
    <w:rsid w:val="0097243F"/>
    <w:rsid w:val="009725D8"/>
    <w:rsid w:val="0097529C"/>
    <w:rsid w:val="00982CBB"/>
    <w:rsid w:val="00983DAD"/>
    <w:rsid w:val="00984632"/>
    <w:rsid w:val="00985ACC"/>
    <w:rsid w:val="00985CDE"/>
    <w:rsid w:val="00987906"/>
    <w:rsid w:val="00993871"/>
    <w:rsid w:val="0099563E"/>
    <w:rsid w:val="00996BCB"/>
    <w:rsid w:val="009A0719"/>
    <w:rsid w:val="009A0A05"/>
    <w:rsid w:val="009A2007"/>
    <w:rsid w:val="009A2266"/>
    <w:rsid w:val="009B39B1"/>
    <w:rsid w:val="009B433E"/>
    <w:rsid w:val="009B6BE2"/>
    <w:rsid w:val="009B7116"/>
    <w:rsid w:val="009C162D"/>
    <w:rsid w:val="009C3C6E"/>
    <w:rsid w:val="009C4094"/>
    <w:rsid w:val="009C4524"/>
    <w:rsid w:val="009C6D7B"/>
    <w:rsid w:val="009C7714"/>
    <w:rsid w:val="009D1BF8"/>
    <w:rsid w:val="009D3B47"/>
    <w:rsid w:val="009D5785"/>
    <w:rsid w:val="009D58A2"/>
    <w:rsid w:val="009E0EF0"/>
    <w:rsid w:val="009E1A38"/>
    <w:rsid w:val="009F140E"/>
    <w:rsid w:val="009F333D"/>
    <w:rsid w:val="009F3578"/>
    <w:rsid w:val="009F494C"/>
    <w:rsid w:val="00A00301"/>
    <w:rsid w:val="00A0033F"/>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362F1"/>
    <w:rsid w:val="00A41704"/>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97619"/>
    <w:rsid w:val="00AA6AE7"/>
    <w:rsid w:val="00AA7BA7"/>
    <w:rsid w:val="00AB6707"/>
    <w:rsid w:val="00AC0E7B"/>
    <w:rsid w:val="00AC2E6D"/>
    <w:rsid w:val="00AC3749"/>
    <w:rsid w:val="00AC610C"/>
    <w:rsid w:val="00AC66E3"/>
    <w:rsid w:val="00AD12E3"/>
    <w:rsid w:val="00AD4ED8"/>
    <w:rsid w:val="00AD6A06"/>
    <w:rsid w:val="00AD6B37"/>
    <w:rsid w:val="00AE0CDC"/>
    <w:rsid w:val="00AE1701"/>
    <w:rsid w:val="00AE359E"/>
    <w:rsid w:val="00AE7F81"/>
    <w:rsid w:val="00AF0E4C"/>
    <w:rsid w:val="00AF3041"/>
    <w:rsid w:val="00AF30DF"/>
    <w:rsid w:val="00AF3317"/>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97E"/>
    <w:rsid w:val="00B42A16"/>
    <w:rsid w:val="00B51FE2"/>
    <w:rsid w:val="00B5283C"/>
    <w:rsid w:val="00B52CEA"/>
    <w:rsid w:val="00B665F0"/>
    <w:rsid w:val="00B6674D"/>
    <w:rsid w:val="00B70728"/>
    <w:rsid w:val="00B7291D"/>
    <w:rsid w:val="00B73B39"/>
    <w:rsid w:val="00B75112"/>
    <w:rsid w:val="00B77CE2"/>
    <w:rsid w:val="00B81103"/>
    <w:rsid w:val="00B82E88"/>
    <w:rsid w:val="00B8736D"/>
    <w:rsid w:val="00B912B4"/>
    <w:rsid w:val="00B94CE0"/>
    <w:rsid w:val="00B956CA"/>
    <w:rsid w:val="00B962CF"/>
    <w:rsid w:val="00BA65BE"/>
    <w:rsid w:val="00BA697C"/>
    <w:rsid w:val="00BA7AE0"/>
    <w:rsid w:val="00BB02A0"/>
    <w:rsid w:val="00BB0E21"/>
    <w:rsid w:val="00BB1FE4"/>
    <w:rsid w:val="00BB23CF"/>
    <w:rsid w:val="00BB37AC"/>
    <w:rsid w:val="00BB42CD"/>
    <w:rsid w:val="00BB6725"/>
    <w:rsid w:val="00BB6735"/>
    <w:rsid w:val="00BB6E2A"/>
    <w:rsid w:val="00BC0695"/>
    <w:rsid w:val="00BC0FC8"/>
    <w:rsid w:val="00BC305B"/>
    <w:rsid w:val="00BC65E7"/>
    <w:rsid w:val="00BC76E9"/>
    <w:rsid w:val="00BD14A6"/>
    <w:rsid w:val="00BD1690"/>
    <w:rsid w:val="00BD3405"/>
    <w:rsid w:val="00BD4366"/>
    <w:rsid w:val="00BD5290"/>
    <w:rsid w:val="00BD5637"/>
    <w:rsid w:val="00BD6C6B"/>
    <w:rsid w:val="00BE3E2D"/>
    <w:rsid w:val="00BE7E86"/>
    <w:rsid w:val="00BF0199"/>
    <w:rsid w:val="00BF104B"/>
    <w:rsid w:val="00BF538F"/>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6C7D"/>
    <w:rsid w:val="00C73B86"/>
    <w:rsid w:val="00C74157"/>
    <w:rsid w:val="00C74FA9"/>
    <w:rsid w:val="00C760CD"/>
    <w:rsid w:val="00C76228"/>
    <w:rsid w:val="00C76336"/>
    <w:rsid w:val="00C81535"/>
    <w:rsid w:val="00C82D60"/>
    <w:rsid w:val="00C85964"/>
    <w:rsid w:val="00C96FA0"/>
    <w:rsid w:val="00C97867"/>
    <w:rsid w:val="00CA103B"/>
    <w:rsid w:val="00CA1B08"/>
    <w:rsid w:val="00CA1E91"/>
    <w:rsid w:val="00CA250D"/>
    <w:rsid w:val="00CA390D"/>
    <w:rsid w:val="00CA4D7C"/>
    <w:rsid w:val="00CA7482"/>
    <w:rsid w:val="00CA7EDD"/>
    <w:rsid w:val="00CA7F0F"/>
    <w:rsid w:val="00CB2852"/>
    <w:rsid w:val="00CB5861"/>
    <w:rsid w:val="00CB5DEA"/>
    <w:rsid w:val="00CB7DF6"/>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612E"/>
    <w:rsid w:val="00D02291"/>
    <w:rsid w:val="00D04FB9"/>
    <w:rsid w:val="00D06A14"/>
    <w:rsid w:val="00D07FF9"/>
    <w:rsid w:val="00D12075"/>
    <w:rsid w:val="00D13FD6"/>
    <w:rsid w:val="00D144CA"/>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60A2F"/>
    <w:rsid w:val="00D61219"/>
    <w:rsid w:val="00D640ED"/>
    <w:rsid w:val="00D65397"/>
    <w:rsid w:val="00D6655E"/>
    <w:rsid w:val="00D67092"/>
    <w:rsid w:val="00D677E7"/>
    <w:rsid w:val="00D70381"/>
    <w:rsid w:val="00D70616"/>
    <w:rsid w:val="00D71DD8"/>
    <w:rsid w:val="00D7270E"/>
    <w:rsid w:val="00D74366"/>
    <w:rsid w:val="00D7624F"/>
    <w:rsid w:val="00D83636"/>
    <w:rsid w:val="00D83FB0"/>
    <w:rsid w:val="00D84073"/>
    <w:rsid w:val="00D840C3"/>
    <w:rsid w:val="00D8664C"/>
    <w:rsid w:val="00D91BBD"/>
    <w:rsid w:val="00D93BDB"/>
    <w:rsid w:val="00D93C06"/>
    <w:rsid w:val="00DA035E"/>
    <w:rsid w:val="00DA2A7E"/>
    <w:rsid w:val="00DA3B37"/>
    <w:rsid w:val="00DA5CEF"/>
    <w:rsid w:val="00DA7836"/>
    <w:rsid w:val="00DB0789"/>
    <w:rsid w:val="00DB0B67"/>
    <w:rsid w:val="00DB107B"/>
    <w:rsid w:val="00DB6FE4"/>
    <w:rsid w:val="00DB7CC5"/>
    <w:rsid w:val="00DC1095"/>
    <w:rsid w:val="00DC1455"/>
    <w:rsid w:val="00DC2219"/>
    <w:rsid w:val="00DC287F"/>
    <w:rsid w:val="00DC7EF8"/>
    <w:rsid w:val="00DD1B7E"/>
    <w:rsid w:val="00DD2A26"/>
    <w:rsid w:val="00DD529E"/>
    <w:rsid w:val="00DD6B7F"/>
    <w:rsid w:val="00DD7FE9"/>
    <w:rsid w:val="00DE4686"/>
    <w:rsid w:val="00DF069E"/>
    <w:rsid w:val="00DF2C68"/>
    <w:rsid w:val="00E00F46"/>
    <w:rsid w:val="00E056CD"/>
    <w:rsid w:val="00E058E4"/>
    <w:rsid w:val="00E07BDD"/>
    <w:rsid w:val="00E07D78"/>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34E5"/>
    <w:rsid w:val="00E6697D"/>
    <w:rsid w:val="00E66B9E"/>
    <w:rsid w:val="00E71175"/>
    <w:rsid w:val="00E73FED"/>
    <w:rsid w:val="00E75290"/>
    <w:rsid w:val="00E803DC"/>
    <w:rsid w:val="00E9104D"/>
    <w:rsid w:val="00E9104F"/>
    <w:rsid w:val="00E9115F"/>
    <w:rsid w:val="00E913E2"/>
    <w:rsid w:val="00E932ED"/>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B6B"/>
    <w:rsid w:val="00ED5F41"/>
    <w:rsid w:val="00EE229B"/>
    <w:rsid w:val="00EE7B55"/>
    <w:rsid w:val="00EF1B04"/>
    <w:rsid w:val="00EF3860"/>
    <w:rsid w:val="00EF42E4"/>
    <w:rsid w:val="00EF669D"/>
    <w:rsid w:val="00F01347"/>
    <w:rsid w:val="00F01483"/>
    <w:rsid w:val="00F064C2"/>
    <w:rsid w:val="00F067C7"/>
    <w:rsid w:val="00F14190"/>
    <w:rsid w:val="00F144D9"/>
    <w:rsid w:val="00F178D3"/>
    <w:rsid w:val="00F2402F"/>
    <w:rsid w:val="00F277B3"/>
    <w:rsid w:val="00F30A15"/>
    <w:rsid w:val="00F3117E"/>
    <w:rsid w:val="00F338AF"/>
    <w:rsid w:val="00F34A5F"/>
    <w:rsid w:val="00F357CB"/>
    <w:rsid w:val="00F361D2"/>
    <w:rsid w:val="00F43004"/>
    <w:rsid w:val="00F46966"/>
    <w:rsid w:val="00F46BCE"/>
    <w:rsid w:val="00F50A25"/>
    <w:rsid w:val="00F50D86"/>
    <w:rsid w:val="00F513B5"/>
    <w:rsid w:val="00F53CB8"/>
    <w:rsid w:val="00F53EA7"/>
    <w:rsid w:val="00F56E96"/>
    <w:rsid w:val="00F606E4"/>
    <w:rsid w:val="00F60E02"/>
    <w:rsid w:val="00F63FD9"/>
    <w:rsid w:val="00F64D09"/>
    <w:rsid w:val="00F66636"/>
    <w:rsid w:val="00F70E19"/>
    <w:rsid w:val="00F719CF"/>
    <w:rsid w:val="00F73E7A"/>
    <w:rsid w:val="00F76C6A"/>
    <w:rsid w:val="00F86132"/>
    <w:rsid w:val="00F869B5"/>
    <w:rsid w:val="00F875D9"/>
    <w:rsid w:val="00F876FB"/>
    <w:rsid w:val="00F931CB"/>
    <w:rsid w:val="00FA1E6D"/>
    <w:rsid w:val="00FA3AA0"/>
    <w:rsid w:val="00FA3CE9"/>
    <w:rsid w:val="00FA6D0F"/>
    <w:rsid w:val="00FA6E90"/>
    <w:rsid w:val="00FB0C8A"/>
    <w:rsid w:val="00FB1706"/>
    <w:rsid w:val="00FB39C9"/>
    <w:rsid w:val="00FB3E39"/>
    <w:rsid w:val="00FB6E23"/>
    <w:rsid w:val="00FB7FAE"/>
    <w:rsid w:val="00FC0003"/>
    <w:rsid w:val="00FC02D8"/>
    <w:rsid w:val="00FC4BD4"/>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4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today.com/exportarurls?idporget=18293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D5B8D-0FAC-48D2-A3EA-5767F098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1161</Words>
  <Characters>6386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7532</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2016-05-09T17:07:00Z</cp:lastPrinted>
  <dcterms:created xsi:type="dcterms:W3CDTF">2016-05-09T17:06:00Z</dcterms:created>
  <dcterms:modified xsi:type="dcterms:W3CDTF">2016-05-09T17:07:00Z</dcterms:modified>
</cp:coreProperties>
</file>