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F75" w:rsidRPr="00E10C31" w:rsidRDefault="00A74F75" w:rsidP="00A74F75">
      <w:pPr>
        <w:spacing w:before="100" w:beforeAutospacing="1" w:after="100" w:afterAutospacing="1" w:line="360" w:lineRule="auto"/>
        <w:jc w:val="both"/>
        <w:outlineLvl w:val="0"/>
        <w:rPr>
          <w:rFonts w:ascii="Arial" w:hAnsi="Arial" w:cs="Arial"/>
          <w:bCs/>
          <w:kern w:val="36"/>
        </w:rPr>
      </w:pPr>
      <w:r w:rsidRPr="009F494C">
        <w:rPr>
          <w:rFonts w:ascii="Arial" w:hAnsi="Arial" w:cs="Arial"/>
          <w:b/>
          <w:bCs/>
          <w:kern w:val="36"/>
        </w:rPr>
        <w:t xml:space="preserve">PENAL. La </w:t>
      </w:r>
      <w:proofErr w:type="spellStart"/>
      <w:r w:rsidRPr="009F494C">
        <w:rPr>
          <w:rFonts w:ascii="Arial" w:hAnsi="Arial" w:cs="Arial"/>
          <w:b/>
          <w:bCs/>
          <w:kern w:val="36"/>
        </w:rPr>
        <w:t>inviolavilidad</w:t>
      </w:r>
      <w:proofErr w:type="spellEnd"/>
      <w:r w:rsidRPr="009F494C">
        <w:rPr>
          <w:rFonts w:ascii="Arial" w:hAnsi="Arial" w:cs="Arial"/>
          <w:b/>
          <w:bCs/>
          <w:kern w:val="36"/>
        </w:rPr>
        <w:t xml:space="preserve"> del domicilio</w:t>
      </w:r>
      <w:r>
        <w:rPr>
          <w:rFonts w:ascii="Arial" w:hAnsi="Arial" w:cs="Arial"/>
          <w:bCs/>
          <w:kern w:val="36"/>
        </w:rPr>
        <w:t>. El Tribunal Supremo sentencia que</w:t>
      </w:r>
      <w:r w:rsidRPr="00E10C31">
        <w:rPr>
          <w:rFonts w:ascii="Arial" w:hAnsi="Arial" w:cs="Arial"/>
          <w:bCs/>
          <w:kern w:val="36"/>
        </w:rPr>
        <w:t xml:space="preserve"> la policía no puede observar con prismáticos el interior de una vivienda sin autorización judicial</w:t>
      </w:r>
    </w:p>
    <w:p w:rsidR="00A74F75" w:rsidRPr="00E10C31" w:rsidRDefault="00A74F75" w:rsidP="00A74F75">
      <w:pPr>
        <w:spacing w:before="100" w:beforeAutospacing="1" w:after="100" w:afterAutospacing="1" w:line="360" w:lineRule="auto"/>
        <w:jc w:val="both"/>
        <w:rPr>
          <w:rFonts w:ascii="Arial" w:hAnsi="Arial" w:cs="Arial"/>
        </w:rPr>
      </w:pPr>
      <w:r w:rsidRPr="00E10C31">
        <w:rPr>
          <w:rFonts w:ascii="Arial" w:hAnsi="Arial" w:cs="Arial"/>
        </w:rPr>
        <w:t>La Sala de lo penal del Tribunal Supremo ha dictado una </w:t>
      </w:r>
      <w:r w:rsidRPr="00E10C31">
        <w:rPr>
          <w:rFonts w:ascii="Arial" w:hAnsi="Arial" w:cs="Arial"/>
          <w:bCs/>
        </w:rPr>
        <w:t>sentencia de fecha 20 de abril de 2016 (sentencia número 329/2016, ponente señor Marchena García),</w:t>
      </w:r>
      <w:r w:rsidRPr="00E10C31">
        <w:rPr>
          <w:rFonts w:ascii="Arial" w:hAnsi="Arial" w:cs="Arial"/>
        </w:rPr>
        <w:t> en la que establece que la observación de una vivienda con prismáticos por parte de la Policía, sin autorización judicial, vulnera el derecho a la inviolabilidad del domicilio.</w:t>
      </w:r>
    </w:p>
    <w:p w:rsidR="00A74F75" w:rsidRPr="00E10C31" w:rsidRDefault="00A74F75" w:rsidP="00A74F75">
      <w:pPr>
        <w:spacing w:before="100" w:beforeAutospacing="1" w:after="100" w:afterAutospacing="1" w:line="360" w:lineRule="auto"/>
        <w:jc w:val="both"/>
        <w:rPr>
          <w:rFonts w:ascii="Arial" w:hAnsi="Arial" w:cs="Arial"/>
        </w:rPr>
      </w:pPr>
      <w:r w:rsidRPr="00E10C31">
        <w:rPr>
          <w:rFonts w:ascii="Arial" w:hAnsi="Arial" w:cs="Arial"/>
        </w:rPr>
        <w:t xml:space="preserve">El </w:t>
      </w:r>
      <w:proofErr w:type="spellStart"/>
      <w:r w:rsidRPr="00E10C31">
        <w:rPr>
          <w:rFonts w:ascii="Arial" w:hAnsi="Arial" w:cs="Arial"/>
        </w:rPr>
        <w:t>TS</w:t>
      </w:r>
      <w:proofErr w:type="spellEnd"/>
      <w:r w:rsidRPr="00E10C31">
        <w:rPr>
          <w:rFonts w:ascii="Arial" w:hAnsi="Arial" w:cs="Arial"/>
        </w:rPr>
        <w:t xml:space="preserve"> se pronuncia así por primera vez sobre la incidencia en el derecho a la inviolabilidad del domicilio (artículo 18.2 de la Constitución) de la observación mediante prismáticos por agentes de Policía del interior de un domicilio.</w:t>
      </w:r>
    </w:p>
    <w:p w:rsidR="00A74F75" w:rsidRPr="00E10C31" w:rsidRDefault="00A74F75" w:rsidP="00A74F75">
      <w:pPr>
        <w:spacing w:before="100" w:beforeAutospacing="1" w:after="100" w:afterAutospacing="1" w:line="360" w:lineRule="auto"/>
        <w:jc w:val="both"/>
        <w:rPr>
          <w:rFonts w:ascii="Arial" w:hAnsi="Arial" w:cs="Arial"/>
        </w:rPr>
      </w:pPr>
      <w:r w:rsidRPr="00E10C31">
        <w:rPr>
          <w:rFonts w:ascii="Arial" w:hAnsi="Arial" w:cs="Arial"/>
        </w:rPr>
        <w:t>Como consecuencia, el Tribunal Supremo considera ilícita la principal prueba de cargo obrante en contra de dos acusados de tráfico de drogas, que fue la actividad observada por la Policía en el interior de un domicilio, mediante prismáticos. Los dos acusados son absueltos por el alto tribunal.</w:t>
      </w:r>
    </w:p>
    <w:p w:rsidR="00A74F75" w:rsidRPr="00E10C31" w:rsidRDefault="00A74F75" w:rsidP="00A74F75">
      <w:pPr>
        <w:spacing w:before="100" w:beforeAutospacing="1" w:after="100" w:afterAutospacing="1" w:line="360" w:lineRule="auto"/>
        <w:jc w:val="both"/>
        <w:outlineLvl w:val="1"/>
        <w:rPr>
          <w:rFonts w:ascii="Arial" w:hAnsi="Arial" w:cs="Arial"/>
          <w:bCs/>
        </w:rPr>
      </w:pPr>
      <w:r w:rsidRPr="00E10C31">
        <w:rPr>
          <w:rFonts w:ascii="Arial" w:hAnsi="Arial" w:cs="Arial"/>
          <w:bCs/>
        </w:rPr>
        <w:t>Dejar las cortinas abiertas no autoriza la observación del interior del inmueble</w:t>
      </w:r>
    </w:p>
    <w:p w:rsidR="00A74F75" w:rsidRPr="00E10C31" w:rsidRDefault="00A74F75" w:rsidP="00A74F75">
      <w:pPr>
        <w:spacing w:before="100" w:beforeAutospacing="1" w:after="100" w:afterAutospacing="1" w:line="360" w:lineRule="auto"/>
        <w:jc w:val="both"/>
        <w:rPr>
          <w:rFonts w:ascii="Arial" w:hAnsi="Arial" w:cs="Arial"/>
        </w:rPr>
      </w:pPr>
      <w:r w:rsidRPr="00E10C31">
        <w:rPr>
          <w:rFonts w:ascii="Arial" w:hAnsi="Arial" w:cs="Arial"/>
        </w:rPr>
        <w:t xml:space="preserve">Según el </w:t>
      </w:r>
      <w:proofErr w:type="spellStart"/>
      <w:r w:rsidRPr="00E10C31">
        <w:rPr>
          <w:rFonts w:ascii="Arial" w:hAnsi="Arial" w:cs="Arial"/>
        </w:rPr>
        <w:t>TS</w:t>
      </w:r>
      <w:proofErr w:type="spellEnd"/>
      <w:r w:rsidRPr="00E10C31">
        <w:rPr>
          <w:rFonts w:ascii="Arial" w:hAnsi="Arial" w:cs="Arial"/>
        </w:rPr>
        <w:t xml:space="preserve">, la protección constitucional de la inviolabilidad del domicilio, no puede ser </w:t>
      </w:r>
      <w:proofErr w:type="gramStart"/>
      <w:r w:rsidRPr="00E10C31">
        <w:rPr>
          <w:rFonts w:ascii="Arial" w:hAnsi="Arial" w:cs="Arial"/>
        </w:rPr>
        <w:t>neutralizada</w:t>
      </w:r>
      <w:proofErr w:type="gramEnd"/>
      <w:r w:rsidRPr="00E10C31">
        <w:rPr>
          <w:rFonts w:ascii="Arial" w:hAnsi="Arial" w:cs="Arial"/>
        </w:rPr>
        <w:t xml:space="preserve"> con el argumento de que el propio morador no ha colocado obstáculos que impidan la visión exterior, pues el domicilio como recinto constitucionalmente protegido no deja de ser domicilio cuando las cortinas no se hallan debidamente cerradas, como ocurría en este caso.</w:t>
      </w:r>
    </w:p>
    <w:p w:rsidR="00A74F75" w:rsidRPr="00E10C31" w:rsidRDefault="00A74F75" w:rsidP="00A74F75">
      <w:pPr>
        <w:spacing w:before="100" w:beforeAutospacing="1" w:after="100" w:afterAutospacing="1" w:line="360" w:lineRule="auto"/>
        <w:jc w:val="both"/>
        <w:rPr>
          <w:rFonts w:ascii="Arial" w:hAnsi="Arial" w:cs="Arial"/>
        </w:rPr>
      </w:pPr>
      <w:r w:rsidRPr="00E10C31">
        <w:rPr>
          <w:rFonts w:ascii="Arial" w:hAnsi="Arial" w:cs="Arial"/>
        </w:rPr>
        <w:t>Es decir, la expectativa de intimidad no desaparece por el hecho de que el titular o usuario de la vivienda no refuerce los elementos de exclusión asociados a cualquier inmueble.</w:t>
      </w:r>
    </w:p>
    <w:p w:rsidR="00A74F75" w:rsidRPr="00E10C31" w:rsidRDefault="00A74F75" w:rsidP="00A74F75">
      <w:pPr>
        <w:spacing w:before="100" w:beforeAutospacing="1" w:after="100" w:afterAutospacing="1" w:line="360" w:lineRule="auto"/>
        <w:jc w:val="both"/>
        <w:rPr>
          <w:rFonts w:ascii="Arial" w:hAnsi="Arial" w:cs="Arial"/>
        </w:rPr>
      </w:pPr>
      <w:r w:rsidRPr="00E10C31">
        <w:rPr>
          <w:rFonts w:ascii="Arial" w:hAnsi="Arial" w:cs="Arial"/>
        </w:rPr>
        <w:lastRenderedPageBreak/>
        <w:t>Interpretar que unas persianas no bajadas o unas cortinas no corridas por el morador transmiten una autorización implícita para la observación del interior del inmueble, encierra el riesgo de debilitar de forma irreparable el contenido material del derecho a la inviolabilidad domiciliaria.</w:t>
      </w:r>
    </w:p>
    <w:p w:rsidR="00A74F75" w:rsidRPr="00E10C31" w:rsidRDefault="00A74F75" w:rsidP="00A74F75">
      <w:pPr>
        <w:spacing w:before="100" w:beforeAutospacing="1" w:after="100" w:afterAutospacing="1" w:line="360" w:lineRule="auto"/>
        <w:jc w:val="both"/>
        <w:rPr>
          <w:rFonts w:ascii="Arial" w:hAnsi="Arial" w:cs="Arial"/>
        </w:rPr>
      </w:pPr>
      <w:r w:rsidRPr="00E10C31">
        <w:rPr>
          <w:rFonts w:ascii="Arial" w:hAnsi="Arial" w:cs="Arial"/>
        </w:rPr>
        <w:t>Por ello, se vulnera la prohibición establecida por el art. 28 CE cuando sin autorización judicial y para sortear los obstáculos propios de la tarea de fiscalización, se recurre a un utensilio óptico que permite ampliar las imágenes y salvar la distancia entre el observante y lo observado, concluye la sentencia.</w:t>
      </w:r>
    </w:p>
    <w:p w:rsidR="00A74F75" w:rsidRPr="00E10C31" w:rsidRDefault="00A74F75" w:rsidP="00A74F75">
      <w:pPr>
        <w:spacing w:before="100" w:beforeAutospacing="1" w:after="100" w:afterAutospacing="1" w:line="360" w:lineRule="auto"/>
        <w:jc w:val="both"/>
        <w:outlineLvl w:val="1"/>
        <w:rPr>
          <w:rFonts w:ascii="Arial" w:hAnsi="Arial" w:cs="Arial"/>
          <w:bCs/>
        </w:rPr>
      </w:pPr>
      <w:r w:rsidRPr="00E10C31">
        <w:rPr>
          <w:rFonts w:ascii="Arial" w:hAnsi="Arial" w:cs="Arial"/>
          <w:bCs/>
        </w:rPr>
        <w:t>Necesidad de protección ante la intromisión virtual</w:t>
      </w:r>
    </w:p>
    <w:p w:rsidR="00A74F75" w:rsidRPr="00E10C31" w:rsidRDefault="00A74F75" w:rsidP="00A74F75">
      <w:pPr>
        <w:spacing w:before="100" w:beforeAutospacing="1" w:after="100" w:afterAutospacing="1" w:line="360" w:lineRule="auto"/>
        <w:jc w:val="both"/>
        <w:rPr>
          <w:rFonts w:ascii="Arial" w:hAnsi="Arial" w:cs="Arial"/>
        </w:rPr>
      </w:pPr>
      <w:r w:rsidRPr="00E10C31">
        <w:rPr>
          <w:rFonts w:ascii="Arial" w:hAnsi="Arial" w:cs="Arial"/>
        </w:rPr>
        <w:t>Y es que, añade el Supremo, la protección frente a la incursión en un domicilio debe abarcar, ahora más que nunca, tanto la entrada física del intruso como la intromisión virtual, pues la revolución tecnológica ofrece sofisticados instrumentos de intrusión que obligan a una interpretación funcional del artículo 18.2 de la Constitución.</w:t>
      </w:r>
    </w:p>
    <w:p w:rsidR="00A74F75" w:rsidRPr="00E10C31" w:rsidRDefault="00A74F75" w:rsidP="00A74F75">
      <w:pPr>
        <w:spacing w:before="100" w:beforeAutospacing="1" w:after="100" w:afterAutospacing="1" w:line="360" w:lineRule="auto"/>
        <w:jc w:val="both"/>
        <w:rPr>
          <w:rFonts w:ascii="Arial" w:hAnsi="Arial" w:cs="Arial"/>
        </w:rPr>
      </w:pPr>
      <w:r w:rsidRPr="00E10C31">
        <w:rPr>
          <w:rFonts w:ascii="Arial" w:hAnsi="Arial" w:cs="Arial"/>
        </w:rPr>
        <w:t xml:space="preserve">En este sentido, la Sala menciona que “La existencia de </w:t>
      </w:r>
      <w:proofErr w:type="spellStart"/>
      <w:r w:rsidRPr="00E10C31">
        <w:rPr>
          <w:rFonts w:ascii="Arial" w:hAnsi="Arial" w:cs="Arial"/>
        </w:rPr>
        <w:t>drones</w:t>
      </w:r>
      <w:proofErr w:type="spellEnd"/>
      <w:r w:rsidRPr="00E10C31">
        <w:rPr>
          <w:rFonts w:ascii="Arial" w:hAnsi="Arial" w:cs="Arial"/>
        </w:rPr>
        <w:t>, cuya tripulación a distancia permite una ilimitada capacidad de intromisión en recintos domiciliarios abiertos es sólo uno de los múltiples ejemplos imaginables.”</w:t>
      </w:r>
    </w:p>
    <w:p w:rsidR="00A74F75" w:rsidRPr="00E10C31" w:rsidRDefault="00A74F75" w:rsidP="00A74F75">
      <w:pPr>
        <w:spacing w:before="100" w:beforeAutospacing="1" w:after="100" w:afterAutospacing="1" w:line="360" w:lineRule="auto"/>
        <w:jc w:val="both"/>
        <w:rPr>
          <w:rFonts w:ascii="Arial" w:hAnsi="Arial" w:cs="Arial"/>
        </w:rPr>
      </w:pPr>
      <w:r w:rsidRPr="00E10C31">
        <w:rPr>
          <w:rFonts w:ascii="Arial" w:hAnsi="Arial" w:cs="Arial"/>
        </w:rPr>
        <w:t>Pero incluso para el caso en que se entendiera que los supuestos de falta de presencia física por parte de los agentes en el domicilio investigado deben ser protegidos conforme al concepto general de intimidad que ofrece el artículo 18.1 de la Constitución, lo cierto es que en el presente caso no consta la existencia de ningún fin constitucionalmente legítimo que, por razones de urgencia, permitiera sacrificar la intimidad del sospechoso.</w:t>
      </w:r>
    </w:p>
    <w:p w:rsidR="00A74F75" w:rsidRPr="00E10C31" w:rsidRDefault="00A74F75" w:rsidP="00A74F75">
      <w:pPr>
        <w:spacing w:before="100" w:beforeAutospacing="1" w:after="100" w:afterAutospacing="1" w:line="360" w:lineRule="auto"/>
        <w:jc w:val="both"/>
        <w:outlineLvl w:val="0"/>
        <w:rPr>
          <w:rFonts w:ascii="Arial" w:hAnsi="Arial" w:cs="Arial"/>
          <w:bCs/>
          <w:kern w:val="36"/>
        </w:rPr>
      </w:pPr>
      <w:r w:rsidRPr="00E10C31">
        <w:rPr>
          <w:rFonts w:ascii="Arial" w:hAnsi="Arial" w:cs="Arial"/>
          <w:bCs/>
          <w:kern w:val="36"/>
        </w:rPr>
        <w:lastRenderedPageBreak/>
        <w:t>El Supremo ve ilegal que la policía use prismáticos para ver una vivienda sin permiso del juez</w:t>
      </w:r>
    </w:p>
    <w:p w:rsidR="00A74F75" w:rsidRPr="00E10C31" w:rsidRDefault="00A74F75" w:rsidP="00A74F75">
      <w:pPr>
        <w:spacing w:before="100" w:beforeAutospacing="1" w:after="100" w:afterAutospacing="1" w:line="360" w:lineRule="auto"/>
        <w:jc w:val="both"/>
        <w:outlineLvl w:val="1"/>
        <w:rPr>
          <w:rFonts w:ascii="Arial" w:hAnsi="Arial" w:cs="Arial"/>
          <w:bCs/>
        </w:rPr>
      </w:pPr>
      <w:r w:rsidRPr="00E10C31">
        <w:rPr>
          <w:rFonts w:ascii="Arial" w:hAnsi="Arial" w:cs="Arial"/>
          <w:bCs/>
        </w:rPr>
        <w:t xml:space="preserve">El tribunal advierte de que los </w:t>
      </w:r>
      <w:proofErr w:type="spellStart"/>
      <w:r w:rsidRPr="00E10C31">
        <w:rPr>
          <w:rFonts w:ascii="Arial" w:hAnsi="Arial" w:cs="Arial"/>
          <w:bCs/>
        </w:rPr>
        <w:t>drones</w:t>
      </w:r>
      <w:proofErr w:type="spellEnd"/>
      <w:r w:rsidRPr="00E10C31">
        <w:rPr>
          <w:rFonts w:ascii="Arial" w:hAnsi="Arial" w:cs="Arial"/>
          <w:bCs/>
        </w:rPr>
        <w:t xml:space="preserve"> y otros "instrumentos de intrusión" pueden vulnerar la inviolabilidad del domicilio</w:t>
      </w:r>
    </w:p>
    <w:p w:rsidR="00A74F75" w:rsidRPr="00E10C31" w:rsidRDefault="00A74F75" w:rsidP="00A74F75">
      <w:pPr>
        <w:spacing w:before="100" w:beforeAutospacing="1" w:after="100" w:afterAutospacing="1" w:line="360" w:lineRule="auto"/>
        <w:jc w:val="both"/>
        <w:rPr>
          <w:rFonts w:ascii="Arial" w:hAnsi="Arial" w:cs="Arial"/>
        </w:rPr>
      </w:pPr>
      <w:r w:rsidRPr="00E10C31">
        <w:rPr>
          <w:rFonts w:ascii="Arial" w:hAnsi="Arial" w:cs="Arial"/>
        </w:rPr>
        <w:t xml:space="preserve">La observación de una vivienda con prismáticos por parte de la policía sin autorización judicial vulnera la inviolabilidad del domicilio. El </w:t>
      </w:r>
      <w:hyperlink r:id="rId8" w:tgtFrame="_blank" w:history="1">
        <w:r w:rsidRPr="00E10C31">
          <w:rPr>
            <w:rFonts w:ascii="Arial" w:hAnsi="Arial" w:cs="Arial"/>
          </w:rPr>
          <w:t>Tribunal Supremo</w:t>
        </w:r>
      </w:hyperlink>
      <w:r w:rsidRPr="00E10C31">
        <w:rPr>
          <w:rFonts w:ascii="Arial" w:hAnsi="Arial" w:cs="Arial"/>
        </w:rPr>
        <w:t xml:space="preserve"> ha anulado la condena de cárcel por tráfico de drogas impuesta a dos personas por la Audiencia de Ourense al considerar ilícita la principal prueba de cargo contra ellos, que fue la actividad observada por la policía en el interior de un domicilio mediante prismáticos. El alto tribunal ha decidido absolver a los dos condenados</w:t>
      </w:r>
      <w:bookmarkStart w:id="0" w:name="sumario_1"/>
      <w:bookmarkEnd w:id="0"/>
    </w:p>
    <w:p w:rsidR="00A74F75" w:rsidRPr="00E10C31" w:rsidRDefault="00A74F75" w:rsidP="00A74F75">
      <w:pPr>
        <w:spacing w:before="100" w:beforeAutospacing="1" w:after="100" w:afterAutospacing="1" w:line="360" w:lineRule="auto"/>
        <w:jc w:val="both"/>
        <w:rPr>
          <w:rFonts w:ascii="Arial" w:hAnsi="Arial" w:cs="Arial"/>
        </w:rPr>
      </w:pPr>
      <w:r w:rsidRPr="00E10C31">
        <w:rPr>
          <w:rFonts w:ascii="Arial" w:hAnsi="Arial" w:cs="Arial"/>
        </w:rPr>
        <w:t xml:space="preserve">En una sentencia de la que ha sido ponente el presidente de la Sala de lo Penal, </w:t>
      </w:r>
      <w:hyperlink r:id="rId9" w:tgtFrame="_blank" w:history="1">
        <w:r w:rsidRPr="00E10C31">
          <w:rPr>
            <w:rFonts w:ascii="Arial" w:hAnsi="Arial" w:cs="Arial"/>
          </w:rPr>
          <w:t>Manuel Marchena</w:t>
        </w:r>
      </w:hyperlink>
      <w:r w:rsidRPr="00E10C31">
        <w:rPr>
          <w:rFonts w:ascii="Arial" w:hAnsi="Arial" w:cs="Arial"/>
        </w:rPr>
        <w:t xml:space="preserve">, el Supremo se ha pronunciado por primera vez sobre el </w:t>
      </w:r>
      <w:hyperlink r:id="rId10" w:tgtFrame="_blank" w:history="1">
        <w:r w:rsidRPr="00E10C31">
          <w:rPr>
            <w:rFonts w:ascii="Arial" w:hAnsi="Arial" w:cs="Arial"/>
          </w:rPr>
          <w:t>artículo 18.2 de la Constitución</w:t>
        </w:r>
      </w:hyperlink>
      <w:r w:rsidRPr="00E10C31">
        <w:rPr>
          <w:rFonts w:ascii="Arial" w:hAnsi="Arial" w:cs="Arial"/>
        </w:rPr>
        <w:t>, relativo a la inviolabilidad del domicilio. En ese sentido, indica que la protección constitucional de esa inviolabilidad, cuando los agentes utilizan prismáticos, no puede ser neutralizada con el argumento de que el que vive en la casa no ha colocado obstáculos que impidan la visión exterior. "El domicilio como recinto constitucionalmente protegido no deja de ser domicilio cuando las cortinas no se hallan debidamente cerradas", como ocurría en este caso, advierte el tribunal.</w:t>
      </w:r>
    </w:p>
    <w:p w:rsidR="00A74F75" w:rsidRPr="00E10C31" w:rsidRDefault="00A74F75" w:rsidP="00A74F75">
      <w:pPr>
        <w:spacing w:before="100" w:beforeAutospacing="1" w:after="100" w:afterAutospacing="1" w:line="360" w:lineRule="auto"/>
        <w:jc w:val="both"/>
        <w:rPr>
          <w:rFonts w:ascii="Arial" w:hAnsi="Arial" w:cs="Arial"/>
        </w:rPr>
      </w:pPr>
      <w:r w:rsidRPr="00E10C31">
        <w:rPr>
          <w:rFonts w:ascii="Arial" w:hAnsi="Arial" w:cs="Arial"/>
        </w:rPr>
        <w:t>"La expectativa de intimidad no desaparece por el hecho de que el titular o usuario de la vivienda no refuerce los elementos de exclusión asociados a cualquier inmueble. Interpretar que unas persianas no bajadas o unas cortinas no corridas por el morador transmiten una autorización implícita para la observación del interior del inmueble encierra el riesgo de debilitar de forma irreparable el contenido material del derecho a la inviolabilidad domiciliaria", añaden los jueces.</w:t>
      </w:r>
    </w:p>
    <w:p w:rsidR="00A74F75" w:rsidRPr="00E10C31" w:rsidRDefault="00A74F75" w:rsidP="00A74F75">
      <w:pPr>
        <w:spacing w:before="100" w:beforeAutospacing="1" w:after="100" w:afterAutospacing="1" w:line="360" w:lineRule="auto"/>
        <w:jc w:val="both"/>
        <w:rPr>
          <w:rFonts w:ascii="Arial" w:hAnsi="Arial" w:cs="Arial"/>
        </w:rPr>
      </w:pPr>
      <w:r w:rsidRPr="00E10C31">
        <w:rPr>
          <w:rFonts w:ascii="Arial" w:hAnsi="Arial" w:cs="Arial"/>
        </w:rPr>
        <w:lastRenderedPageBreak/>
        <w:t xml:space="preserve">El Supremo reflexiona sobre cómo la revolución tecnológica ha traído "sofisticados instrumentos de intrusión" que obligan a reinterpretar el artículo 18.2 de la Constitución para que se adapte a posibilidades que antes no existían. Según los jueces, la protección frente a la incursión en un domicilio debe abarcar ahora tanto la entrada física del intruso como la "intromisión virtual". "La existencia de </w:t>
      </w:r>
      <w:proofErr w:type="spellStart"/>
      <w:r w:rsidRPr="00E10C31">
        <w:rPr>
          <w:rFonts w:ascii="Arial" w:hAnsi="Arial" w:cs="Arial"/>
        </w:rPr>
        <w:t>drones</w:t>
      </w:r>
      <w:proofErr w:type="spellEnd"/>
      <w:r w:rsidRPr="00E10C31">
        <w:rPr>
          <w:rFonts w:ascii="Arial" w:hAnsi="Arial" w:cs="Arial"/>
        </w:rPr>
        <w:t>, cuya tripulación a distancia permite una ilimitada capacidad de intromisión en recintos domiciliarios abiertos, es sólo uno de los múltiples ejemplos imaginables", apunta el Supremo.</w:t>
      </w:r>
    </w:p>
    <w:p w:rsidR="00A74F75" w:rsidRPr="00E10C31" w:rsidRDefault="00A74F75" w:rsidP="00A74F75">
      <w:pPr>
        <w:spacing w:before="100" w:beforeAutospacing="1" w:after="100" w:afterAutospacing="1" w:line="360" w:lineRule="auto"/>
        <w:jc w:val="both"/>
        <w:rPr>
          <w:rFonts w:ascii="Arial" w:hAnsi="Arial" w:cs="Arial"/>
        </w:rPr>
      </w:pPr>
      <w:r w:rsidRPr="00E10C31">
        <w:rPr>
          <w:rFonts w:ascii="Arial" w:hAnsi="Arial" w:cs="Arial"/>
        </w:rPr>
        <w:t>Sobre el caso de los presuntos traficantes de droga de Ourense, el tribunal entiende que no existía ningún fin legítimo que, "por razones de urgencia", permitiera sacrificar la intimidad del sospechoso. "Y se vulnera esa prohibición cuando sin autorización judicial y para sortear los obstáculos propios de la tarea de fiscalización, se recurre a un utensilio óptico que permite ampliar las imágenes y salvar la distancia entre el observante y lo observado", concluye la sentencia.</w:t>
      </w:r>
    </w:p>
    <w:p w:rsidR="00A74F75" w:rsidRPr="00E10C31" w:rsidRDefault="00A74F75" w:rsidP="00A74F75">
      <w:pPr>
        <w:spacing w:line="360" w:lineRule="auto"/>
        <w:jc w:val="both"/>
        <w:rPr>
          <w:rFonts w:ascii="Arial" w:hAnsi="Arial" w:cs="Arial"/>
        </w:rPr>
      </w:pPr>
    </w:p>
    <w:p w:rsidR="00B73B39" w:rsidRPr="00B73B39" w:rsidRDefault="00B73B39" w:rsidP="00B73B39">
      <w:pPr>
        <w:pStyle w:val="NormalWeb"/>
        <w:spacing w:line="360" w:lineRule="auto"/>
        <w:ind w:left="720"/>
        <w:jc w:val="both"/>
        <w:rPr>
          <w:rFonts w:ascii="Arial" w:hAnsi="Arial" w:cs="Arial"/>
        </w:rPr>
      </w:pPr>
    </w:p>
    <w:p w:rsidR="00E9104D" w:rsidRDefault="00E9104D" w:rsidP="00E9104D">
      <w:pPr>
        <w:pStyle w:val="NormalWeb"/>
        <w:spacing w:line="360" w:lineRule="auto"/>
        <w:jc w:val="both"/>
        <w:rPr>
          <w:rFonts w:ascii="Arial" w:hAnsi="Arial" w:cs="Arial"/>
        </w:rPr>
      </w:pPr>
    </w:p>
    <w:p w:rsidR="009F494C" w:rsidRDefault="009F494C" w:rsidP="00E9104D">
      <w:pPr>
        <w:pStyle w:val="NormalWeb"/>
        <w:spacing w:line="360" w:lineRule="auto"/>
        <w:jc w:val="both"/>
        <w:rPr>
          <w:rFonts w:ascii="Arial" w:hAnsi="Arial" w:cs="Arial"/>
        </w:rPr>
      </w:pPr>
    </w:p>
    <w:p w:rsidR="009F494C" w:rsidRDefault="009F494C" w:rsidP="00E9104D">
      <w:pPr>
        <w:pStyle w:val="NormalWeb"/>
        <w:spacing w:line="360" w:lineRule="auto"/>
        <w:jc w:val="both"/>
        <w:rPr>
          <w:rFonts w:ascii="Arial" w:hAnsi="Arial" w:cs="Arial"/>
        </w:rPr>
      </w:pPr>
    </w:p>
    <w:p w:rsidR="009F494C" w:rsidRDefault="009F494C" w:rsidP="00E9104D">
      <w:pPr>
        <w:pStyle w:val="NormalWeb"/>
        <w:spacing w:line="360" w:lineRule="auto"/>
        <w:jc w:val="both"/>
        <w:rPr>
          <w:rFonts w:ascii="Arial" w:hAnsi="Arial" w:cs="Arial"/>
        </w:rPr>
      </w:pPr>
    </w:p>
    <w:p w:rsidR="009F494C" w:rsidRDefault="009F494C" w:rsidP="00E9104D">
      <w:pPr>
        <w:pStyle w:val="NormalWeb"/>
        <w:spacing w:line="360" w:lineRule="auto"/>
        <w:jc w:val="both"/>
        <w:rPr>
          <w:rFonts w:ascii="Arial" w:hAnsi="Arial" w:cs="Arial"/>
        </w:rPr>
      </w:pPr>
    </w:p>
    <w:p w:rsidR="009F494C" w:rsidRPr="00E9104D" w:rsidRDefault="009F494C" w:rsidP="00E9104D">
      <w:pPr>
        <w:pStyle w:val="NormalWeb"/>
        <w:spacing w:line="360" w:lineRule="auto"/>
        <w:jc w:val="both"/>
        <w:rPr>
          <w:rFonts w:ascii="Arial" w:hAnsi="Arial" w:cs="Arial"/>
        </w:rPr>
      </w:pPr>
    </w:p>
    <w:p w:rsidR="009F3578" w:rsidRDefault="009F3578" w:rsidP="009F3578">
      <w:pPr>
        <w:spacing w:before="100" w:beforeAutospacing="1" w:after="100" w:afterAutospacing="1" w:line="360" w:lineRule="auto"/>
        <w:jc w:val="both"/>
        <w:rPr>
          <w:rFonts w:ascii="Arial" w:hAnsi="Arial" w:cs="Arial"/>
        </w:rPr>
      </w:pPr>
    </w:p>
    <w:p w:rsidR="00B73B39" w:rsidRDefault="00B73B39" w:rsidP="009F3578">
      <w:pPr>
        <w:spacing w:before="100" w:beforeAutospacing="1" w:after="100" w:afterAutospacing="1" w:line="360" w:lineRule="auto"/>
        <w:jc w:val="both"/>
        <w:rPr>
          <w:rFonts w:ascii="Arial" w:hAnsi="Arial" w:cs="Arial"/>
        </w:rPr>
      </w:pPr>
    </w:p>
    <w:p w:rsidR="00B73B39" w:rsidRPr="009F3578" w:rsidRDefault="00B73B39" w:rsidP="009F3578">
      <w:pPr>
        <w:spacing w:before="100" w:beforeAutospacing="1" w:after="100" w:afterAutospacing="1" w:line="360" w:lineRule="auto"/>
        <w:jc w:val="both"/>
        <w:rPr>
          <w:rFonts w:ascii="Arial" w:hAnsi="Arial" w:cs="Arial"/>
        </w:rPr>
      </w:pPr>
    </w:p>
    <w:p w:rsidR="001C71E0" w:rsidRPr="00484304" w:rsidRDefault="001C71E0" w:rsidP="00484304">
      <w:pPr>
        <w:spacing w:line="360" w:lineRule="auto"/>
        <w:jc w:val="both"/>
        <w:rPr>
          <w:rFonts w:ascii="Arial" w:hAnsi="Arial" w:cs="Arial"/>
        </w:rPr>
      </w:pPr>
    </w:p>
    <w:p w:rsidR="001C71E0" w:rsidRPr="00484304" w:rsidRDefault="001C71E0" w:rsidP="00484304">
      <w:pPr>
        <w:spacing w:line="360" w:lineRule="auto"/>
        <w:jc w:val="both"/>
        <w:rPr>
          <w:rFonts w:ascii="Arial" w:hAnsi="Arial" w:cs="Arial"/>
        </w:rPr>
      </w:pPr>
    </w:p>
    <w:p w:rsidR="00447F11" w:rsidRPr="00484304" w:rsidRDefault="00EF42E4" w:rsidP="00484304">
      <w:pPr>
        <w:spacing w:line="360" w:lineRule="auto"/>
        <w:jc w:val="both"/>
        <w:rPr>
          <w:rFonts w:ascii="Arial" w:hAnsi="Arial" w:cs="Arial"/>
        </w:rPr>
      </w:pPr>
      <w:r w:rsidRPr="00484304">
        <w:rPr>
          <w:rFonts w:ascii="Arial" w:hAnsi="Arial" w:cs="Arial"/>
          <w:noProof/>
        </w:rPr>
        <w:drawing>
          <wp:inline distT="0" distB="0" distL="0" distR="0">
            <wp:extent cx="5394960" cy="4226560"/>
            <wp:effectExtent l="19050" t="0" r="0" b="0"/>
            <wp:docPr id="14" name="Imagen 6" descr="C:\Users\Alfredo\Dropbox\artículos para la web JUNIO 2015\fotos definitivas\abogados en oviedo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fredo\Dropbox\artículos para la web JUNIO 2015\fotos definitivas\abogados en oviedo (6).jpg"/>
                    <pic:cNvPicPr>
                      <a:picLocks noChangeAspect="1" noChangeArrowheads="1"/>
                    </pic:cNvPicPr>
                  </pic:nvPicPr>
                  <pic:blipFill>
                    <a:blip r:embed="rId11" cstate="print"/>
                    <a:srcRect/>
                    <a:stretch>
                      <a:fillRect/>
                    </a:stretch>
                  </pic:blipFill>
                  <pic:spPr bwMode="auto">
                    <a:xfrm>
                      <a:off x="0" y="0"/>
                      <a:ext cx="5400041" cy="4230540"/>
                    </a:xfrm>
                    <a:prstGeom prst="rect">
                      <a:avLst/>
                    </a:prstGeom>
                    <a:noFill/>
                    <a:ln w="9525">
                      <a:noFill/>
                      <a:miter lim="800000"/>
                      <a:headEnd/>
                      <a:tailEnd/>
                    </a:ln>
                  </pic:spPr>
                </pic:pic>
              </a:graphicData>
            </a:graphic>
          </wp:inline>
        </w:drawing>
      </w:r>
    </w:p>
    <w:p w:rsidR="00EF42E4" w:rsidRPr="00484304" w:rsidRDefault="00EF42E4" w:rsidP="00484304">
      <w:pPr>
        <w:spacing w:line="360" w:lineRule="auto"/>
        <w:jc w:val="both"/>
        <w:rPr>
          <w:rFonts w:ascii="Arial" w:hAnsi="Arial" w:cs="Arial"/>
        </w:rPr>
      </w:pPr>
    </w:p>
    <w:p w:rsidR="00EF42E4" w:rsidRPr="00484304" w:rsidRDefault="00EF42E4" w:rsidP="00484304">
      <w:pPr>
        <w:spacing w:line="360" w:lineRule="auto"/>
        <w:jc w:val="both"/>
        <w:rPr>
          <w:rFonts w:ascii="Arial" w:hAnsi="Arial" w:cs="Arial"/>
        </w:rPr>
      </w:pPr>
    </w:p>
    <w:p w:rsidR="00EF42E4" w:rsidRPr="00484304" w:rsidRDefault="00EF42E4" w:rsidP="00484304">
      <w:pPr>
        <w:spacing w:line="360" w:lineRule="auto"/>
        <w:jc w:val="both"/>
        <w:rPr>
          <w:rFonts w:ascii="Arial" w:hAnsi="Arial" w:cs="Arial"/>
        </w:rPr>
      </w:pPr>
    </w:p>
    <w:p w:rsidR="00EF42E4" w:rsidRPr="00484304" w:rsidRDefault="00EF42E4" w:rsidP="00484304">
      <w:pPr>
        <w:spacing w:line="360" w:lineRule="auto"/>
        <w:jc w:val="both"/>
        <w:rPr>
          <w:rFonts w:ascii="Arial" w:hAnsi="Arial" w:cs="Arial"/>
        </w:rPr>
      </w:pPr>
    </w:p>
    <w:p w:rsidR="00D02291" w:rsidRPr="00484304" w:rsidRDefault="00D02291" w:rsidP="00484304">
      <w:pPr>
        <w:pStyle w:val="NormalWeb"/>
        <w:spacing w:before="0" w:beforeAutospacing="0" w:after="0" w:afterAutospacing="0" w:line="360" w:lineRule="auto"/>
        <w:jc w:val="both"/>
        <w:rPr>
          <w:rFonts w:ascii="Arial" w:hAnsi="Arial" w:cs="Arial"/>
        </w:rPr>
      </w:pPr>
    </w:p>
    <w:sectPr w:rsidR="00D02291" w:rsidRPr="00484304" w:rsidSect="00963829">
      <w:headerReference w:type="even" r:id="rId12"/>
      <w:headerReference w:type="default" r:id="rId13"/>
      <w:footerReference w:type="even" r:id="rId14"/>
      <w:footerReference w:type="default" r:id="rId15"/>
      <w:headerReference w:type="first" r:id="rId16"/>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716" w:rsidRDefault="00243716">
      <w:r>
        <w:separator/>
      </w:r>
    </w:p>
  </w:endnote>
  <w:endnote w:type="continuationSeparator" w:id="0">
    <w:p w:rsidR="00243716" w:rsidRDefault="0024371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4D7286"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4D7286"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B324DB">
      <w:rPr>
        <w:rStyle w:val="Nmerodepgina"/>
        <w:noProof/>
      </w:rPr>
      <w:t>5</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Campoamor 9  2º        33001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w:t>
    </w:r>
    <w:proofErr w:type="spellStart"/>
    <w:r>
      <w:rPr>
        <w:rFonts w:ascii="Arial" w:hAnsi="Arial" w:cs="Arial"/>
        <w:sz w:val="16"/>
        <w:szCs w:val="16"/>
      </w:rPr>
      <w:t>875f</w:t>
    </w:r>
    <w:proofErr w:type="spellEnd"/>
  </w:p>
  <w:p w:rsidR="00247F1A" w:rsidRPr="00741184" w:rsidRDefault="00247F1A" w:rsidP="00741184">
    <w:pPr>
      <w:pStyle w:val="Piedepgina"/>
      <w:jc w:val="center"/>
      <w:rPr>
        <w:rFonts w:ascii="Arial" w:hAnsi="Arial" w:cs="Arial"/>
        <w:sz w:val="16"/>
        <w:szCs w:val="16"/>
      </w:rPr>
    </w:pPr>
    <w:proofErr w:type="spellStart"/>
    <w:r>
      <w:rPr>
        <w:rFonts w:ascii="Arial" w:hAnsi="Arial" w:cs="Arial"/>
        <w:sz w:val="16"/>
        <w:szCs w:val="16"/>
      </w:rPr>
      <w:t>www.alfredogarcialopez.es</w:t>
    </w:r>
    <w:r w:rsidR="00EF669D">
      <w:rPr>
        <w:rFonts w:ascii="Arial" w:hAnsi="Arial" w:cs="Arial"/>
        <w:sz w:val="16"/>
        <w:szCs w:val="16"/>
      </w:rPr>
      <w:t>/com</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716" w:rsidRDefault="00243716">
      <w:r>
        <w:separator/>
      </w:r>
    </w:p>
  </w:footnote>
  <w:footnote w:type="continuationSeparator" w:id="0">
    <w:p w:rsidR="00243716" w:rsidRDefault="002437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4D7286">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4D7286"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247F1A"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4D7286">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7AEB"/>
    <w:multiLevelType w:val="singleLevel"/>
    <w:tmpl w:val="377CC275"/>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1">
    <w:nsid w:val="0217C6F5"/>
    <w:multiLevelType w:val="singleLevel"/>
    <w:tmpl w:val="0EC5EBC5"/>
    <w:lvl w:ilvl="0">
      <w:start w:val="1"/>
      <w:numFmt w:val="lowerLetter"/>
      <w:lvlText w:val="%1)"/>
      <w:lvlJc w:val="left"/>
      <w:pPr>
        <w:tabs>
          <w:tab w:val="num" w:pos="216"/>
        </w:tabs>
        <w:ind w:left="360" w:firstLine="648"/>
      </w:pPr>
      <w:rPr>
        <w:rFonts w:ascii="Arial" w:hAnsi="Arial" w:cs="Arial"/>
        <w:snapToGrid/>
        <w:spacing w:val="5"/>
        <w:sz w:val="19"/>
        <w:szCs w:val="19"/>
      </w:rPr>
    </w:lvl>
  </w:abstractNum>
  <w:abstractNum w:abstractNumId="2">
    <w:nsid w:val="0345B92B"/>
    <w:multiLevelType w:val="singleLevel"/>
    <w:tmpl w:val="17D9FA12"/>
    <w:lvl w:ilvl="0">
      <w:start w:val="3"/>
      <w:numFmt w:val="lowerLetter"/>
      <w:lvlText w:val="%1)"/>
      <w:lvlJc w:val="left"/>
      <w:pPr>
        <w:tabs>
          <w:tab w:val="num" w:pos="216"/>
        </w:tabs>
        <w:ind w:left="360" w:firstLine="648"/>
      </w:pPr>
      <w:rPr>
        <w:rFonts w:ascii="Arial" w:hAnsi="Arial" w:cs="Arial"/>
        <w:snapToGrid/>
        <w:spacing w:val="2"/>
        <w:sz w:val="19"/>
        <w:szCs w:val="19"/>
      </w:rPr>
    </w:lvl>
  </w:abstractNum>
  <w:abstractNum w:abstractNumId="3">
    <w:nsid w:val="0358312E"/>
    <w:multiLevelType w:val="singleLevel"/>
    <w:tmpl w:val="5FBEF9D8"/>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4">
    <w:nsid w:val="04864154"/>
    <w:multiLevelType w:val="singleLevel"/>
    <w:tmpl w:val="6024EB40"/>
    <w:lvl w:ilvl="0">
      <w:start w:val="1"/>
      <w:numFmt w:val="lowerLetter"/>
      <w:lvlText w:val="%1)"/>
      <w:lvlJc w:val="left"/>
      <w:pPr>
        <w:tabs>
          <w:tab w:val="num" w:pos="216"/>
        </w:tabs>
        <w:ind w:left="360" w:firstLine="648"/>
      </w:pPr>
      <w:rPr>
        <w:rFonts w:ascii="Arial" w:hAnsi="Arial" w:cs="Arial"/>
        <w:i/>
        <w:iCs/>
        <w:snapToGrid/>
        <w:spacing w:val="4"/>
        <w:sz w:val="20"/>
        <w:szCs w:val="20"/>
      </w:rPr>
    </w:lvl>
  </w:abstractNum>
  <w:abstractNum w:abstractNumId="5">
    <w:nsid w:val="059A1D23"/>
    <w:multiLevelType w:val="singleLevel"/>
    <w:tmpl w:val="436F4730"/>
    <w:lvl w:ilvl="0">
      <w:start w:val="1"/>
      <w:numFmt w:val="lowerLetter"/>
      <w:lvlText w:val="%1)"/>
      <w:lvlJc w:val="left"/>
      <w:pPr>
        <w:tabs>
          <w:tab w:val="num" w:pos="216"/>
        </w:tabs>
        <w:ind w:left="360" w:firstLine="648"/>
      </w:pPr>
      <w:rPr>
        <w:rFonts w:ascii="Arial" w:hAnsi="Arial" w:cs="Arial"/>
        <w:snapToGrid/>
        <w:spacing w:val="6"/>
        <w:sz w:val="19"/>
        <w:szCs w:val="19"/>
      </w:rPr>
    </w:lvl>
  </w:abstractNum>
  <w:abstractNum w:abstractNumId="6">
    <w:nsid w:val="05BD8059"/>
    <w:multiLevelType w:val="singleLevel"/>
    <w:tmpl w:val="24C91811"/>
    <w:lvl w:ilvl="0">
      <w:start w:val="1"/>
      <w:numFmt w:val="upperLetter"/>
      <w:lvlText w:val="%1)"/>
      <w:lvlJc w:val="left"/>
      <w:pPr>
        <w:tabs>
          <w:tab w:val="num" w:pos="288"/>
        </w:tabs>
        <w:ind w:left="936"/>
      </w:pPr>
      <w:rPr>
        <w:rFonts w:ascii="Arial" w:hAnsi="Arial" w:cs="Arial"/>
        <w:i/>
        <w:iCs/>
        <w:snapToGrid/>
        <w:spacing w:val="5"/>
        <w:sz w:val="20"/>
        <w:szCs w:val="20"/>
      </w:rPr>
    </w:lvl>
  </w:abstractNum>
  <w:abstractNum w:abstractNumId="7">
    <w:nsid w:val="05EE2DC1"/>
    <w:multiLevelType w:val="singleLevel"/>
    <w:tmpl w:val="5A623558"/>
    <w:lvl w:ilvl="0">
      <w:start w:val="2"/>
      <w:numFmt w:val="decimal"/>
      <w:lvlText w:val="%1."/>
      <w:lvlJc w:val="left"/>
      <w:pPr>
        <w:tabs>
          <w:tab w:val="num" w:pos="216"/>
        </w:tabs>
        <w:ind w:left="360" w:firstLine="648"/>
      </w:pPr>
      <w:rPr>
        <w:rFonts w:ascii="Arial" w:hAnsi="Arial" w:cs="Arial"/>
        <w:i/>
        <w:iCs/>
        <w:snapToGrid/>
        <w:spacing w:val="-3"/>
        <w:sz w:val="20"/>
        <w:szCs w:val="20"/>
      </w:rPr>
    </w:lvl>
  </w:abstractNum>
  <w:abstractNum w:abstractNumId="8">
    <w:nsid w:val="065BE9FC"/>
    <w:multiLevelType w:val="singleLevel"/>
    <w:tmpl w:val="72CF9F54"/>
    <w:lvl w:ilvl="0">
      <w:start w:val="3"/>
      <w:numFmt w:val="decimal"/>
      <w:lvlText w:val="%1.-"/>
      <w:lvlJc w:val="left"/>
      <w:pPr>
        <w:tabs>
          <w:tab w:val="num" w:pos="288"/>
        </w:tabs>
        <w:ind w:left="360" w:firstLine="648"/>
      </w:pPr>
      <w:rPr>
        <w:rFonts w:ascii="Arial" w:hAnsi="Arial" w:cs="Arial"/>
        <w:snapToGrid/>
        <w:spacing w:val="6"/>
        <w:sz w:val="19"/>
        <w:szCs w:val="19"/>
      </w:rPr>
    </w:lvl>
  </w:abstractNum>
  <w:abstractNum w:abstractNumId="9">
    <w:nsid w:val="07BBD971"/>
    <w:multiLevelType w:val="singleLevel"/>
    <w:tmpl w:val="1ADBE769"/>
    <w:lvl w:ilvl="0">
      <w:start w:val="2"/>
      <w:numFmt w:val="lowerLetter"/>
      <w:lvlText w:val="%1)"/>
      <w:lvlJc w:val="left"/>
      <w:pPr>
        <w:tabs>
          <w:tab w:val="num" w:pos="216"/>
        </w:tabs>
        <w:ind w:left="360" w:firstLine="648"/>
      </w:pPr>
      <w:rPr>
        <w:rFonts w:ascii="Arial" w:hAnsi="Arial" w:cs="Arial"/>
        <w:snapToGrid/>
        <w:spacing w:val="2"/>
        <w:sz w:val="19"/>
        <w:szCs w:val="19"/>
      </w:rPr>
    </w:lvl>
  </w:abstractNum>
  <w:abstractNum w:abstractNumId="10">
    <w:nsid w:val="088E68AD"/>
    <w:multiLevelType w:val="multilevel"/>
    <w:tmpl w:val="27CA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B76126"/>
    <w:multiLevelType w:val="multilevel"/>
    <w:tmpl w:val="79A2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724208"/>
    <w:multiLevelType w:val="multilevel"/>
    <w:tmpl w:val="FFC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C6E1C31"/>
    <w:multiLevelType w:val="multilevel"/>
    <w:tmpl w:val="52F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0A6B50"/>
    <w:multiLevelType w:val="multilevel"/>
    <w:tmpl w:val="6B8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A5951E4"/>
    <w:multiLevelType w:val="multilevel"/>
    <w:tmpl w:val="B3A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A84A83"/>
    <w:multiLevelType w:val="multilevel"/>
    <w:tmpl w:val="3718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914846"/>
    <w:multiLevelType w:val="multilevel"/>
    <w:tmpl w:val="BE2C1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052CC9"/>
    <w:multiLevelType w:val="multilevel"/>
    <w:tmpl w:val="9C68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DD7E30"/>
    <w:multiLevelType w:val="hybridMultilevel"/>
    <w:tmpl w:val="9732CB8A"/>
    <w:lvl w:ilvl="0" w:tplc="B0264D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90214C"/>
    <w:multiLevelType w:val="multilevel"/>
    <w:tmpl w:val="3578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398481D"/>
    <w:multiLevelType w:val="multilevel"/>
    <w:tmpl w:val="C0AA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6E376B"/>
    <w:multiLevelType w:val="multilevel"/>
    <w:tmpl w:val="683E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7866AFE"/>
    <w:multiLevelType w:val="multilevel"/>
    <w:tmpl w:val="21FA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B43929"/>
    <w:multiLevelType w:val="multilevel"/>
    <w:tmpl w:val="1DEE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CBA064A"/>
    <w:multiLevelType w:val="multilevel"/>
    <w:tmpl w:val="C44C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E33F76"/>
    <w:multiLevelType w:val="multilevel"/>
    <w:tmpl w:val="ACD2A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86B2AF8"/>
    <w:multiLevelType w:val="multilevel"/>
    <w:tmpl w:val="73E0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B101B8E"/>
    <w:multiLevelType w:val="multilevel"/>
    <w:tmpl w:val="77B8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CB0A0B"/>
    <w:multiLevelType w:val="multilevel"/>
    <w:tmpl w:val="D35E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65025F5"/>
    <w:multiLevelType w:val="multilevel"/>
    <w:tmpl w:val="C9F4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7817312"/>
    <w:multiLevelType w:val="multilevel"/>
    <w:tmpl w:val="85B8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14572D"/>
    <w:multiLevelType w:val="multilevel"/>
    <w:tmpl w:val="56487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5"/>
  </w:num>
  <w:num w:numId="3">
    <w:abstractNumId w:val="21"/>
  </w:num>
  <w:num w:numId="4">
    <w:abstractNumId w:val="27"/>
  </w:num>
  <w:num w:numId="5">
    <w:abstractNumId w:val="33"/>
  </w:num>
  <w:num w:numId="6">
    <w:abstractNumId w:val="18"/>
    <w:lvlOverride w:ilvl="0">
      <w:lvl w:ilvl="0">
        <w:numFmt w:val="decimal"/>
        <w:lvlText w:val="%1."/>
        <w:lvlJc w:val="left"/>
      </w:lvl>
    </w:lvlOverride>
  </w:num>
  <w:num w:numId="7">
    <w:abstractNumId w:val="17"/>
  </w:num>
  <w:num w:numId="8">
    <w:abstractNumId w:val="12"/>
  </w:num>
  <w:num w:numId="9">
    <w:abstractNumId w:val="24"/>
  </w:num>
  <w:num w:numId="10">
    <w:abstractNumId w:val="20"/>
  </w:num>
  <w:num w:numId="11">
    <w:abstractNumId w:val="13"/>
  </w:num>
  <w:num w:numId="12">
    <w:abstractNumId w:val="28"/>
  </w:num>
  <w:num w:numId="13">
    <w:abstractNumId w:val="14"/>
  </w:num>
  <w:num w:numId="14">
    <w:abstractNumId w:val="15"/>
  </w:num>
  <w:num w:numId="15">
    <w:abstractNumId w:val="29"/>
  </w:num>
  <w:num w:numId="16">
    <w:abstractNumId w:val="32"/>
  </w:num>
  <w:num w:numId="17">
    <w:abstractNumId w:val="34"/>
  </w:num>
  <w:num w:numId="18">
    <w:abstractNumId w:val="36"/>
  </w:num>
  <w:num w:numId="19">
    <w:abstractNumId w:val="35"/>
  </w:num>
  <w:num w:numId="20">
    <w:abstractNumId w:val="31"/>
  </w:num>
  <w:num w:numId="21">
    <w:abstractNumId w:val="37"/>
  </w:num>
  <w:num w:numId="22">
    <w:abstractNumId w:val="11"/>
  </w:num>
  <w:num w:numId="23">
    <w:abstractNumId w:val="40"/>
  </w:num>
  <w:num w:numId="24">
    <w:abstractNumId w:val="19"/>
  </w:num>
  <w:num w:numId="25">
    <w:abstractNumId w:val="30"/>
  </w:num>
  <w:num w:numId="26">
    <w:abstractNumId w:val="39"/>
  </w:num>
  <w:num w:numId="27">
    <w:abstractNumId w:val="26"/>
  </w:num>
  <w:num w:numId="28">
    <w:abstractNumId w:val="10"/>
  </w:num>
  <w:num w:numId="29">
    <w:abstractNumId w:val="38"/>
  </w:num>
  <w:num w:numId="30">
    <w:abstractNumId w:val="22"/>
  </w:num>
  <w:num w:numId="31">
    <w:abstractNumId w:val="23"/>
  </w:num>
  <w:num w:numId="32">
    <w:abstractNumId w:val="7"/>
  </w:num>
  <w:num w:numId="33">
    <w:abstractNumId w:val="4"/>
  </w:num>
  <w:num w:numId="34">
    <w:abstractNumId w:val="6"/>
  </w:num>
  <w:num w:numId="35">
    <w:abstractNumId w:val="8"/>
  </w:num>
  <w:num w:numId="36">
    <w:abstractNumId w:val="5"/>
  </w:num>
  <w:num w:numId="37">
    <w:abstractNumId w:val="9"/>
  </w:num>
  <w:num w:numId="38">
    <w:abstractNumId w:val="1"/>
  </w:num>
  <w:num w:numId="39">
    <w:abstractNumId w:val="2"/>
  </w:num>
  <w:num w:numId="40">
    <w:abstractNumId w:val="3"/>
  </w:num>
  <w:num w:numId="41">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proofState w:spelling="clean" w:grammar="clean"/>
  <w:stylePaneFormatFilter w:val="3F01"/>
  <w:defaultTabStop w:val="708"/>
  <w:hyphenationZone w:val="425"/>
  <w:characterSpacingControl w:val="doNotCompress"/>
  <w:hdrShapeDefaults>
    <o:shapedefaults v:ext="edit" spidmax="443394"/>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2C06"/>
    <w:rsid w:val="0000340D"/>
    <w:rsid w:val="00003455"/>
    <w:rsid w:val="00005799"/>
    <w:rsid w:val="00005938"/>
    <w:rsid w:val="00005AFB"/>
    <w:rsid w:val="000063DE"/>
    <w:rsid w:val="00012324"/>
    <w:rsid w:val="00016AA0"/>
    <w:rsid w:val="00017DA5"/>
    <w:rsid w:val="0003072D"/>
    <w:rsid w:val="00033922"/>
    <w:rsid w:val="00033CEB"/>
    <w:rsid w:val="000362A9"/>
    <w:rsid w:val="00037D25"/>
    <w:rsid w:val="00042584"/>
    <w:rsid w:val="00044D2E"/>
    <w:rsid w:val="00046A79"/>
    <w:rsid w:val="00051042"/>
    <w:rsid w:val="000516A3"/>
    <w:rsid w:val="00053264"/>
    <w:rsid w:val="0005441C"/>
    <w:rsid w:val="000546BE"/>
    <w:rsid w:val="0005559E"/>
    <w:rsid w:val="00063CF8"/>
    <w:rsid w:val="00067615"/>
    <w:rsid w:val="000677B4"/>
    <w:rsid w:val="00067EEE"/>
    <w:rsid w:val="00072160"/>
    <w:rsid w:val="000743A0"/>
    <w:rsid w:val="00076312"/>
    <w:rsid w:val="00077A88"/>
    <w:rsid w:val="000825EC"/>
    <w:rsid w:val="00083E4E"/>
    <w:rsid w:val="00086F28"/>
    <w:rsid w:val="000873CF"/>
    <w:rsid w:val="000915CD"/>
    <w:rsid w:val="00096DA1"/>
    <w:rsid w:val="000A133F"/>
    <w:rsid w:val="000A6A5F"/>
    <w:rsid w:val="000B30D9"/>
    <w:rsid w:val="000C2041"/>
    <w:rsid w:val="000C22DA"/>
    <w:rsid w:val="000C337E"/>
    <w:rsid w:val="000C3873"/>
    <w:rsid w:val="000C47AE"/>
    <w:rsid w:val="000C4953"/>
    <w:rsid w:val="000D5D61"/>
    <w:rsid w:val="000D6B11"/>
    <w:rsid w:val="000E1823"/>
    <w:rsid w:val="000F1749"/>
    <w:rsid w:val="000F7844"/>
    <w:rsid w:val="0010060C"/>
    <w:rsid w:val="0010178D"/>
    <w:rsid w:val="00101CFD"/>
    <w:rsid w:val="0011301C"/>
    <w:rsid w:val="0011338B"/>
    <w:rsid w:val="001172ED"/>
    <w:rsid w:val="00117C70"/>
    <w:rsid w:val="001204C1"/>
    <w:rsid w:val="00122D88"/>
    <w:rsid w:val="00123215"/>
    <w:rsid w:val="00124EA1"/>
    <w:rsid w:val="00126642"/>
    <w:rsid w:val="00131CFB"/>
    <w:rsid w:val="001360FD"/>
    <w:rsid w:val="00136165"/>
    <w:rsid w:val="00137AEE"/>
    <w:rsid w:val="00140D3C"/>
    <w:rsid w:val="00140F44"/>
    <w:rsid w:val="00142C8E"/>
    <w:rsid w:val="0014307B"/>
    <w:rsid w:val="00143B44"/>
    <w:rsid w:val="00144AB1"/>
    <w:rsid w:val="00145211"/>
    <w:rsid w:val="00146353"/>
    <w:rsid w:val="00146577"/>
    <w:rsid w:val="0015267B"/>
    <w:rsid w:val="00153427"/>
    <w:rsid w:val="001543FF"/>
    <w:rsid w:val="00155425"/>
    <w:rsid w:val="00157604"/>
    <w:rsid w:val="00162E93"/>
    <w:rsid w:val="00163318"/>
    <w:rsid w:val="0016353A"/>
    <w:rsid w:val="00165508"/>
    <w:rsid w:val="00166951"/>
    <w:rsid w:val="00170C4A"/>
    <w:rsid w:val="00170D3F"/>
    <w:rsid w:val="001737EB"/>
    <w:rsid w:val="00175CE4"/>
    <w:rsid w:val="001765E7"/>
    <w:rsid w:val="001771E6"/>
    <w:rsid w:val="00181091"/>
    <w:rsid w:val="001829D4"/>
    <w:rsid w:val="00183795"/>
    <w:rsid w:val="00185C69"/>
    <w:rsid w:val="0018755D"/>
    <w:rsid w:val="00190868"/>
    <w:rsid w:val="0019129D"/>
    <w:rsid w:val="001949CF"/>
    <w:rsid w:val="00195325"/>
    <w:rsid w:val="001969A3"/>
    <w:rsid w:val="001A12D0"/>
    <w:rsid w:val="001A15CD"/>
    <w:rsid w:val="001A6D78"/>
    <w:rsid w:val="001B78AD"/>
    <w:rsid w:val="001C0F7E"/>
    <w:rsid w:val="001C6A86"/>
    <w:rsid w:val="001C71E0"/>
    <w:rsid w:val="001D6AB5"/>
    <w:rsid w:val="001D7106"/>
    <w:rsid w:val="001E0A4E"/>
    <w:rsid w:val="001E0D97"/>
    <w:rsid w:val="001E3E5C"/>
    <w:rsid w:val="001E438D"/>
    <w:rsid w:val="001E491C"/>
    <w:rsid w:val="001E5F6F"/>
    <w:rsid w:val="001F194A"/>
    <w:rsid w:val="001F2637"/>
    <w:rsid w:val="001F56C0"/>
    <w:rsid w:val="00202275"/>
    <w:rsid w:val="00204913"/>
    <w:rsid w:val="002054C7"/>
    <w:rsid w:val="00206865"/>
    <w:rsid w:val="00214BAE"/>
    <w:rsid w:val="0021672E"/>
    <w:rsid w:val="00222D9D"/>
    <w:rsid w:val="00224282"/>
    <w:rsid w:val="00225477"/>
    <w:rsid w:val="00227944"/>
    <w:rsid w:val="00232DFC"/>
    <w:rsid w:val="0023355F"/>
    <w:rsid w:val="00236A04"/>
    <w:rsid w:val="00241163"/>
    <w:rsid w:val="00241A9E"/>
    <w:rsid w:val="00243716"/>
    <w:rsid w:val="002456D5"/>
    <w:rsid w:val="00246CF8"/>
    <w:rsid w:val="00247F1A"/>
    <w:rsid w:val="00250136"/>
    <w:rsid w:val="0025036B"/>
    <w:rsid w:val="002503E9"/>
    <w:rsid w:val="00250B2A"/>
    <w:rsid w:val="00255846"/>
    <w:rsid w:val="002661E3"/>
    <w:rsid w:val="00266FF5"/>
    <w:rsid w:val="00267153"/>
    <w:rsid w:val="00270928"/>
    <w:rsid w:val="002744D4"/>
    <w:rsid w:val="002759CE"/>
    <w:rsid w:val="00282546"/>
    <w:rsid w:val="00283E8B"/>
    <w:rsid w:val="00284FAC"/>
    <w:rsid w:val="002860A4"/>
    <w:rsid w:val="002863E2"/>
    <w:rsid w:val="00287D71"/>
    <w:rsid w:val="002A0150"/>
    <w:rsid w:val="002A06DB"/>
    <w:rsid w:val="002A2EE4"/>
    <w:rsid w:val="002A6352"/>
    <w:rsid w:val="002A670B"/>
    <w:rsid w:val="002B04BE"/>
    <w:rsid w:val="002B268C"/>
    <w:rsid w:val="002B4021"/>
    <w:rsid w:val="002B579C"/>
    <w:rsid w:val="002B6667"/>
    <w:rsid w:val="002B7B7F"/>
    <w:rsid w:val="002C2243"/>
    <w:rsid w:val="002C61B5"/>
    <w:rsid w:val="002D11AD"/>
    <w:rsid w:val="002D21BE"/>
    <w:rsid w:val="002D2ED2"/>
    <w:rsid w:val="002D32FE"/>
    <w:rsid w:val="002D50B8"/>
    <w:rsid w:val="002E053F"/>
    <w:rsid w:val="002E3AC7"/>
    <w:rsid w:val="002E3BC0"/>
    <w:rsid w:val="002F042F"/>
    <w:rsid w:val="002F0907"/>
    <w:rsid w:val="002F6D88"/>
    <w:rsid w:val="002F7B53"/>
    <w:rsid w:val="00303054"/>
    <w:rsid w:val="00303BB2"/>
    <w:rsid w:val="003067DF"/>
    <w:rsid w:val="00306DA2"/>
    <w:rsid w:val="00311908"/>
    <w:rsid w:val="003149AA"/>
    <w:rsid w:val="0031620C"/>
    <w:rsid w:val="00317A4E"/>
    <w:rsid w:val="00317CFB"/>
    <w:rsid w:val="00320289"/>
    <w:rsid w:val="00323572"/>
    <w:rsid w:val="00323FC4"/>
    <w:rsid w:val="0032491A"/>
    <w:rsid w:val="0032681D"/>
    <w:rsid w:val="00326C83"/>
    <w:rsid w:val="00331994"/>
    <w:rsid w:val="00332AC6"/>
    <w:rsid w:val="00332F1F"/>
    <w:rsid w:val="00336A68"/>
    <w:rsid w:val="003416DE"/>
    <w:rsid w:val="003458AA"/>
    <w:rsid w:val="00357DD2"/>
    <w:rsid w:val="00361A96"/>
    <w:rsid w:val="0036668D"/>
    <w:rsid w:val="00366E63"/>
    <w:rsid w:val="0036733A"/>
    <w:rsid w:val="00367EC5"/>
    <w:rsid w:val="00372666"/>
    <w:rsid w:val="00373292"/>
    <w:rsid w:val="00374027"/>
    <w:rsid w:val="00393327"/>
    <w:rsid w:val="003A1F2B"/>
    <w:rsid w:val="003A3123"/>
    <w:rsid w:val="003B28C1"/>
    <w:rsid w:val="003B4424"/>
    <w:rsid w:val="003B5346"/>
    <w:rsid w:val="003B6C70"/>
    <w:rsid w:val="003B6FA8"/>
    <w:rsid w:val="003B70A6"/>
    <w:rsid w:val="003B736D"/>
    <w:rsid w:val="003C1F2E"/>
    <w:rsid w:val="003C242B"/>
    <w:rsid w:val="003D0308"/>
    <w:rsid w:val="003D1CE9"/>
    <w:rsid w:val="003D31EA"/>
    <w:rsid w:val="003D5696"/>
    <w:rsid w:val="003D5A4F"/>
    <w:rsid w:val="003D694C"/>
    <w:rsid w:val="003D6F6A"/>
    <w:rsid w:val="003E2060"/>
    <w:rsid w:val="003E2382"/>
    <w:rsid w:val="003E3F2B"/>
    <w:rsid w:val="003E5D44"/>
    <w:rsid w:val="003E66C1"/>
    <w:rsid w:val="003E7310"/>
    <w:rsid w:val="003F11D6"/>
    <w:rsid w:val="003F6C38"/>
    <w:rsid w:val="004026DE"/>
    <w:rsid w:val="00403FB6"/>
    <w:rsid w:val="004069A0"/>
    <w:rsid w:val="004136B4"/>
    <w:rsid w:val="00414CA4"/>
    <w:rsid w:val="00415284"/>
    <w:rsid w:val="004164A6"/>
    <w:rsid w:val="004169D7"/>
    <w:rsid w:val="00424999"/>
    <w:rsid w:val="00424E68"/>
    <w:rsid w:val="00430075"/>
    <w:rsid w:val="004310CD"/>
    <w:rsid w:val="00434F53"/>
    <w:rsid w:val="0044211B"/>
    <w:rsid w:val="00444A6A"/>
    <w:rsid w:val="00444E9C"/>
    <w:rsid w:val="00445C86"/>
    <w:rsid w:val="00446F88"/>
    <w:rsid w:val="00447A97"/>
    <w:rsid w:val="00447B6D"/>
    <w:rsid w:val="00447F11"/>
    <w:rsid w:val="00450935"/>
    <w:rsid w:val="00451F0E"/>
    <w:rsid w:val="00453887"/>
    <w:rsid w:val="00453DE1"/>
    <w:rsid w:val="00457758"/>
    <w:rsid w:val="00457F59"/>
    <w:rsid w:val="0046105C"/>
    <w:rsid w:val="00461E39"/>
    <w:rsid w:val="00464DB2"/>
    <w:rsid w:val="00465065"/>
    <w:rsid w:val="0046656C"/>
    <w:rsid w:val="00470834"/>
    <w:rsid w:val="004712E1"/>
    <w:rsid w:val="0047172D"/>
    <w:rsid w:val="00472F61"/>
    <w:rsid w:val="004744B1"/>
    <w:rsid w:val="00475782"/>
    <w:rsid w:val="0048064B"/>
    <w:rsid w:val="004813E1"/>
    <w:rsid w:val="0048268F"/>
    <w:rsid w:val="00483D29"/>
    <w:rsid w:val="00484304"/>
    <w:rsid w:val="004856E9"/>
    <w:rsid w:val="0048734A"/>
    <w:rsid w:val="004908A3"/>
    <w:rsid w:val="0049251A"/>
    <w:rsid w:val="0049641D"/>
    <w:rsid w:val="004A04E5"/>
    <w:rsid w:val="004A2021"/>
    <w:rsid w:val="004A4482"/>
    <w:rsid w:val="004A6D3B"/>
    <w:rsid w:val="004B28BD"/>
    <w:rsid w:val="004C1C76"/>
    <w:rsid w:val="004C1F35"/>
    <w:rsid w:val="004C2912"/>
    <w:rsid w:val="004C358F"/>
    <w:rsid w:val="004C4D7A"/>
    <w:rsid w:val="004C4DD6"/>
    <w:rsid w:val="004C5EF2"/>
    <w:rsid w:val="004D11E2"/>
    <w:rsid w:val="004D231A"/>
    <w:rsid w:val="004D2CC9"/>
    <w:rsid w:val="004D4741"/>
    <w:rsid w:val="004D4815"/>
    <w:rsid w:val="004D57A3"/>
    <w:rsid w:val="004D7286"/>
    <w:rsid w:val="004D7C75"/>
    <w:rsid w:val="004E07F8"/>
    <w:rsid w:val="004E0928"/>
    <w:rsid w:val="004E737A"/>
    <w:rsid w:val="004F1AE6"/>
    <w:rsid w:val="004F39A9"/>
    <w:rsid w:val="004F4321"/>
    <w:rsid w:val="004F494F"/>
    <w:rsid w:val="004F7038"/>
    <w:rsid w:val="00502F2D"/>
    <w:rsid w:val="00506161"/>
    <w:rsid w:val="005109CF"/>
    <w:rsid w:val="00510B3A"/>
    <w:rsid w:val="005111CB"/>
    <w:rsid w:val="00511E39"/>
    <w:rsid w:val="00511F20"/>
    <w:rsid w:val="005160A3"/>
    <w:rsid w:val="00517752"/>
    <w:rsid w:val="00517927"/>
    <w:rsid w:val="0052042B"/>
    <w:rsid w:val="00521CDF"/>
    <w:rsid w:val="00524432"/>
    <w:rsid w:val="00530120"/>
    <w:rsid w:val="005310EF"/>
    <w:rsid w:val="005314CC"/>
    <w:rsid w:val="00533FCF"/>
    <w:rsid w:val="0053730B"/>
    <w:rsid w:val="00537E4E"/>
    <w:rsid w:val="00540F1B"/>
    <w:rsid w:val="005537F8"/>
    <w:rsid w:val="00554FD4"/>
    <w:rsid w:val="005550E6"/>
    <w:rsid w:val="00555B56"/>
    <w:rsid w:val="0055678C"/>
    <w:rsid w:val="00561F15"/>
    <w:rsid w:val="005636FA"/>
    <w:rsid w:val="00573B2A"/>
    <w:rsid w:val="00577EC0"/>
    <w:rsid w:val="00586A96"/>
    <w:rsid w:val="00586AA3"/>
    <w:rsid w:val="00587A94"/>
    <w:rsid w:val="00590C68"/>
    <w:rsid w:val="005913E9"/>
    <w:rsid w:val="00594857"/>
    <w:rsid w:val="00595B9D"/>
    <w:rsid w:val="00595E1F"/>
    <w:rsid w:val="00597940"/>
    <w:rsid w:val="005B2316"/>
    <w:rsid w:val="005B364E"/>
    <w:rsid w:val="005B4DE8"/>
    <w:rsid w:val="005B56D9"/>
    <w:rsid w:val="005B75C9"/>
    <w:rsid w:val="005C19B9"/>
    <w:rsid w:val="005C42C4"/>
    <w:rsid w:val="005C523E"/>
    <w:rsid w:val="005D24D0"/>
    <w:rsid w:val="005D3C55"/>
    <w:rsid w:val="005D7F03"/>
    <w:rsid w:val="005E548E"/>
    <w:rsid w:val="005E56CF"/>
    <w:rsid w:val="005F23CF"/>
    <w:rsid w:val="005F41D2"/>
    <w:rsid w:val="005F6243"/>
    <w:rsid w:val="005F7C83"/>
    <w:rsid w:val="0060154D"/>
    <w:rsid w:val="00605E0D"/>
    <w:rsid w:val="0061004A"/>
    <w:rsid w:val="00621861"/>
    <w:rsid w:val="0063047C"/>
    <w:rsid w:val="0063121F"/>
    <w:rsid w:val="00632790"/>
    <w:rsid w:val="00643141"/>
    <w:rsid w:val="006505F3"/>
    <w:rsid w:val="00655691"/>
    <w:rsid w:val="00657119"/>
    <w:rsid w:val="00657BF6"/>
    <w:rsid w:val="0066302C"/>
    <w:rsid w:val="006631FB"/>
    <w:rsid w:val="006636A4"/>
    <w:rsid w:val="00664269"/>
    <w:rsid w:val="00664504"/>
    <w:rsid w:val="006716D9"/>
    <w:rsid w:val="00676AA2"/>
    <w:rsid w:val="006774FA"/>
    <w:rsid w:val="00681C99"/>
    <w:rsid w:val="00682A57"/>
    <w:rsid w:val="00684CF4"/>
    <w:rsid w:val="006877B4"/>
    <w:rsid w:val="006928C9"/>
    <w:rsid w:val="006930B8"/>
    <w:rsid w:val="006936BB"/>
    <w:rsid w:val="006949F3"/>
    <w:rsid w:val="00697334"/>
    <w:rsid w:val="006A1490"/>
    <w:rsid w:val="006A1BCD"/>
    <w:rsid w:val="006A4E17"/>
    <w:rsid w:val="006A5309"/>
    <w:rsid w:val="006A61E4"/>
    <w:rsid w:val="006B159B"/>
    <w:rsid w:val="006B447B"/>
    <w:rsid w:val="006C0996"/>
    <w:rsid w:val="006C1DC1"/>
    <w:rsid w:val="006C350A"/>
    <w:rsid w:val="006C3DA2"/>
    <w:rsid w:val="006C640B"/>
    <w:rsid w:val="006C6430"/>
    <w:rsid w:val="006D0258"/>
    <w:rsid w:val="006D4E8D"/>
    <w:rsid w:val="006D5D22"/>
    <w:rsid w:val="006E3887"/>
    <w:rsid w:val="006E6BA2"/>
    <w:rsid w:val="006E73A1"/>
    <w:rsid w:val="006E74F1"/>
    <w:rsid w:val="006F4431"/>
    <w:rsid w:val="006F6E0F"/>
    <w:rsid w:val="007019DC"/>
    <w:rsid w:val="00701F10"/>
    <w:rsid w:val="00702306"/>
    <w:rsid w:val="00702897"/>
    <w:rsid w:val="00717478"/>
    <w:rsid w:val="00721D3E"/>
    <w:rsid w:val="00722C56"/>
    <w:rsid w:val="007252D3"/>
    <w:rsid w:val="00727120"/>
    <w:rsid w:val="0072781A"/>
    <w:rsid w:val="00730F24"/>
    <w:rsid w:val="00731EBB"/>
    <w:rsid w:val="007320B2"/>
    <w:rsid w:val="007348FE"/>
    <w:rsid w:val="00734A63"/>
    <w:rsid w:val="00734BA9"/>
    <w:rsid w:val="00741184"/>
    <w:rsid w:val="007419EB"/>
    <w:rsid w:val="00743988"/>
    <w:rsid w:val="007440F5"/>
    <w:rsid w:val="0074498C"/>
    <w:rsid w:val="007465D8"/>
    <w:rsid w:val="00747158"/>
    <w:rsid w:val="00760140"/>
    <w:rsid w:val="00760ECB"/>
    <w:rsid w:val="007635F9"/>
    <w:rsid w:val="00763C44"/>
    <w:rsid w:val="00765E89"/>
    <w:rsid w:val="00767711"/>
    <w:rsid w:val="00767F47"/>
    <w:rsid w:val="00772E66"/>
    <w:rsid w:val="0077398E"/>
    <w:rsid w:val="007771EA"/>
    <w:rsid w:val="00782C76"/>
    <w:rsid w:val="00786044"/>
    <w:rsid w:val="00786F4F"/>
    <w:rsid w:val="00792B95"/>
    <w:rsid w:val="00793A58"/>
    <w:rsid w:val="00793DAF"/>
    <w:rsid w:val="007969C0"/>
    <w:rsid w:val="00797717"/>
    <w:rsid w:val="007A02EB"/>
    <w:rsid w:val="007A19AF"/>
    <w:rsid w:val="007A1D46"/>
    <w:rsid w:val="007A34C4"/>
    <w:rsid w:val="007A351D"/>
    <w:rsid w:val="007A6627"/>
    <w:rsid w:val="007A6B05"/>
    <w:rsid w:val="007A761F"/>
    <w:rsid w:val="007B3BCE"/>
    <w:rsid w:val="007C19AA"/>
    <w:rsid w:val="007C19D7"/>
    <w:rsid w:val="007C1D60"/>
    <w:rsid w:val="007C2808"/>
    <w:rsid w:val="007C312B"/>
    <w:rsid w:val="007C669E"/>
    <w:rsid w:val="007D0005"/>
    <w:rsid w:val="007D25B7"/>
    <w:rsid w:val="007E03E3"/>
    <w:rsid w:val="007E2B11"/>
    <w:rsid w:val="007E33DE"/>
    <w:rsid w:val="007E4C61"/>
    <w:rsid w:val="007E5901"/>
    <w:rsid w:val="007E7D5A"/>
    <w:rsid w:val="007F12CE"/>
    <w:rsid w:val="007F3791"/>
    <w:rsid w:val="007F497A"/>
    <w:rsid w:val="00800E14"/>
    <w:rsid w:val="008019F1"/>
    <w:rsid w:val="00804079"/>
    <w:rsid w:val="008042FD"/>
    <w:rsid w:val="00806BD3"/>
    <w:rsid w:val="00815FBD"/>
    <w:rsid w:val="008162AD"/>
    <w:rsid w:val="00817F2A"/>
    <w:rsid w:val="00825050"/>
    <w:rsid w:val="00832245"/>
    <w:rsid w:val="008343D7"/>
    <w:rsid w:val="00840498"/>
    <w:rsid w:val="00841973"/>
    <w:rsid w:val="00843326"/>
    <w:rsid w:val="0084497B"/>
    <w:rsid w:val="00845420"/>
    <w:rsid w:val="00845B49"/>
    <w:rsid w:val="00850985"/>
    <w:rsid w:val="00851897"/>
    <w:rsid w:val="008523FA"/>
    <w:rsid w:val="00855B9F"/>
    <w:rsid w:val="00856ED7"/>
    <w:rsid w:val="00860F3A"/>
    <w:rsid w:val="00862061"/>
    <w:rsid w:val="00865C66"/>
    <w:rsid w:val="00870332"/>
    <w:rsid w:val="00870CD3"/>
    <w:rsid w:val="00870EF6"/>
    <w:rsid w:val="00872127"/>
    <w:rsid w:val="0087231C"/>
    <w:rsid w:val="00877B46"/>
    <w:rsid w:val="008802B6"/>
    <w:rsid w:val="008839CF"/>
    <w:rsid w:val="00883B42"/>
    <w:rsid w:val="0088710E"/>
    <w:rsid w:val="00890667"/>
    <w:rsid w:val="008916FC"/>
    <w:rsid w:val="00895754"/>
    <w:rsid w:val="008A04B0"/>
    <w:rsid w:val="008A7198"/>
    <w:rsid w:val="008B1379"/>
    <w:rsid w:val="008B271D"/>
    <w:rsid w:val="008B475A"/>
    <w:rsid w:val="008B6D39"/>
    <w:rsid w:val="008C05D0"/>
    <w:rsid w:val="008C1D08"/>
    <w:rsid w:val="008D740A"/>
    <w:rsid w:val="008E5B16"/>
    <w:rsid w:val="008E7057"/>
    <w:rsid w:val="008F00DE"/>
    <w:rsid w:val="008F073F"/>
    <w:rsid w:val="008F15E4"/>
    <w:rsid w:val="008F30F8"/>
    <w:rsid w:val="008F4096"/>
    <w:rsid w:val="008F6439"/>
    <w:rsid w:val="0090382B"/>
    <w:rsid w:val="00910B49"/>
    <w:rsid w:val="00911185"/>
    <w:rsid w:val="00911495"/>
    <w:rsid w:val="00911FEA"/>
    <w:rsid w:val="0091270A"/>
    <w:rsid w:val="0091400C"/>
    <w:rsid w:val="00914687"/>
    <w:rsid w:val="00915170"/>
    <w:rsid w:val="00920163"/>
    <w:rsid w:val="00921DCD"/>
    <w:rsid w:val="00922762"/>
    <w:rsid w:val="009227EE"/>
    <w:rsid w:val="009361FA"/>
    <w:rsid w:val="009416AE"/>
    <w:rsid w:val="009422B8"/>
    <w:rsid w:val="009426CD"/>
    <w:rsid w:val="009438A7"/>
    <w:rsid w:val="00946110"/>
    <w:rsid w:val="00947AA3"/>
    <w:rsid w:val="00947BA6"/>
    <w:rsid w:val="00960B1B"/>
    <w:rsid w:val="00963694"/>
    <w:rsid w:val="00963829"/>
    <w:rsid w:val="009653C8"/>
    <w:rsid w:val="0096679C"/>
    <w:rsid w:val="00967966"/>
    <w:rsid w:val="00971FA9"/>
    <w:rsid w:val="00972339"/>
    <w:rsid w:val="0097243F"/>
    <w:rsid w:val="009725D8"/>
    <w:rsid w:val="0097529C"/>
    <w:rsid w:val="00982CBB"/>
    <w:rsid w:val="00983DAD"/>
    <w:rsid w:val="00985ACC"/>
    <w:rsid w:val="00985CDE"/>
    <w:rsid w:val="00987906"/>
    <w:rsid w:val="00993871"/>
    <w:rsid w:val="0099563E"/>
    <w:rsid w:val="00996BCB"/>
    <w:rsid w:val="009A0719"/>
    <w:rsid w:val="009A2007"/>
    <w:rsid w:val="009B35A9"/>
    <w:rsid w:val="009B39B1"/>
    <w:rsid w:val="009B433E"/>
    <w:rsid w:val="009B6BE2"/>
    <w:rsid w:val="009B7116"/>
    <w:rsid w:val="009C162D"/>
    <w:rsid w:val="009C3C6E"/>
    <w:rsid w:val="009C4094"/>
    <w:rsid w:val="009C4524"/>
    <w:rsid w:val="009C6D7B"/>
    <w:rsid w:val="009C7714"/>
    <w:rsid w:val="009D1BF8"/>
    <w:rsid w:val="009D3B47"/>
    <w:rsid w:val="009D5785"/>
    <w:rsid w:val="009D58A2"/>
    <w:rsid w:val="009E0EF0"/>
    <w:rsid w:val="009E1A38"/>
    <w:rsid w:val="009F140E"/>
    <w:rsid w:val="009F333D"/>
    <w:rsid w:val="009F3578"/>
    <w:rsid w:val="009F494C"/>
    <w:rsid w:val="00A00301"/>
    <w:rsid w:val="00A0033F"/>
    <w:rsid w:val="00A00E65"/>
    <w:rsid w:val="00A00E6C"/>
    <w:rsid w:val="00A02F4C"/>
    <w:rsid w:val="00A02F6D"/>
    <w:rsid w:val="00A05DAC"/>
    <w:rsid w:val="00A07993"/>
    <w:rsid w:val="00A108F5"/>
    <w:rsid w:val="00A14E96"/>
    <w:rsid w:val="00A17A8C"/>
    <w:rsid w:val="00A22B86"/>
    <w:rsid w:val="00A26AB9"/>
    <w:rsid w:val="00A26B35"/>
    <w:rsid w:val="00A3314E"/>
    <w:rsid w:val="00A35735"/>
    <w:rsid w:val="00A41704"/>
    <w:rsid w:val="00A5336A"/>
    <w:rsid w:val="00A62018"/>
    <w:rsid w:val="00A624DC"/>
    <w:rsid w:val="00A6435C"/>
    <w:rsid w:val="00A650A6"/>
    <w:rsid w:val="00A71397"/>
    <w:rsid w:val="00A72052"/>
    <w:rsid w:val="00A74F75"/>
    <w:rsid w:val="00A8339A"/>
    <w:rsid w:val="00A83D2C"/>
    <w:rsid w:val="00A8474C"/>
    <w:rsid w:val="00A84D3A"/>
    <w:rsid w:val="00A9327F"/>
    <w:rsid w:val="00A95C68"/>
    <w:rsid w:val="00A9688F"/>
    <w:rsid w:val="00A96918"/>
    <w:rsid w:val="00A96FFE"/>
    <w:rsid w:val="00AA6AE7"/>
    <w:rsid w:val="00AA7BA7"/>
    <w:rsid w:val="00AB6707"/>
    <w:rsid w:val="00AC0E7B"/>
    <w:rsid w:val="00AC2E6D"/>
    <w:rsid w:val="00AC3749"/>
    <w:rsid w:val="00AC610C"/>
    <w:rsid w:val="00AC66E3"/>
    <w:rsid w:val="00AD12E3"/>
    <w:rsid w:val="00AD4ED8"/>
    <w:rsid w:val="00AD6A06"/>
    <w:rsid w:val="00AD6B37"/>
    <w:rsid w:val="00AE0CDC"/>
    <w:rsid w:val="00AE1701"/>
    <w:rsid w:val="00AE359E"/>
    <w:rsid w:val="00AE7F81"/>
    <w:rsid w:val="00AF0E4C"/>
    <w:rsid w:val="00AF3041"/>
    <w:rsid w:val="00AF30DF"/>
    <w:rsid w:val="00AF4FF9"/>
    <w:rsid w:val="00B00F10"/>
    <w:rsid w:val="00B01332"/>
    <w:rsid w:val="00B0481C"/>
    <w:rsid w:val="00B07DFC"/>
    <w:rsid w:val="00B11575"/>
    <w:rsid w:val="00B121E1"/>
    <w:rsid w:val="00B1439E"/>
    <w:rsid w:val="00B1491D"/>
    <w:rsid w:val="00B15AF5"/>
    <w:rsid w:val="00B1674E"/>
    <w:rsid w:val="00B2104D"/>
    <w:rsid w:val="00B226F2"/>
    <w:rsid w:val="00B25CE4"/>
    <w:rsid w:val="00B267C7"/>
    <w:rsid w:val="00B274E9"/>
    <w:rsid w:val="00B30A91"/>
    <w:rsid w:val="00B324DB"/>
    <w:rsid w:val="00B32BCB"/>
    <w:rsid w:val="00B34083"/>
    <w:rsid w:val="00B3697E"/>
    <w:rsid w:val="00B42A16"/>
    <w:rsid w:val="00B51FE2"/>
    <w:rsid w:val="00B5283C"/>
    <w:rsid w:val="00B52CEA"/>
    <w:rsid w:val="00B665F0"/>
    <w:rsid w:val="00B6674D"/>
    <w:rsid w:val="00B70728"/>
    <w:rsid w:val="00B7291D"/>
    <w:rsid w:val="00B73B39"/>
    <w:rsid w:val="00B75112"/>
    <w:rsid w:val="00B77CE2"/>
    <w:rsid w:val="00B81103"/>
    <w:rsid w:val="00B82E88"/>
    <w:rsid w:val="00B8736D"/>
    <w:rsid w:val="00B912B4"/>
    <w:rsid w:val="00B94CE0"/>
    <w:rsid w:val="00B956CA"/>
    <w:rsid w:val="00B962CF"/>
    <w:rsid w:val="00BA697C"/>
    <w:rsid w:val="00BA7AE0"/>
    <w:rsid w:val="00BB02A0"/>
    <w:rsid w:val="00BB0E21"/>
    <w:rsid w:val="00BB23CF"/>
    <w:rsid w:val="00BB37AC"/>
    <w:rsid w:val="00BB42CD"/>
    <w:rsid w:val="00BB6725"/>
    <w:rsid w:val="00BB6735"/>
    <w:rsid w:val="00BB6E2A"/>
    <w:rsid w:val="00BC0695"/>
    <w:rsid w:val="00BC0FC8"/>
    <w:rsid w:val="00BC305B"/>
    <w:rsid w:val="00BC65E7"/>
    <w:rsid w:val="00BC76E9"/>
    <w:rsid w:val="00BD14A6"/>
    <w:rsid w:val="00BD1690"/>
    <w:rsid w:val="00BD3405"/>
    <w:rsid w:val="00BD4366"/>
    <w:rsid w:val="00BD5290"/>
    <w:rsid w:val="00BD6C6B"/>
    <w:rsid w:val="00BE3E2D"/>
    <w:rsid w:val="00BE7E86"/>
    <w:rsid w:val="00BF0199"/>
    <w:rsid w:val="00BF104B"/>
    <w:rsid w:val="00BF667F"/>
    <w:rsid w:val="00C00CFC"/>
    <w:rsid w:val="00C06DF8"/>
    <w:rsid w:val="00C112F5"/>
    <w:rsid w:val="00C12F38"/>
    <w:rsid w:val="00C15820"/>
    <w:rsid w:val="00C15FF8"/>
    <w:rsid w:val="00C17C54"/>
    <w:rsid w:val="00C23C6B"/>
    <w:rsid w:val="00C255CE"/>
    <w:rsid w:val="00C26665"/>
    <w:rsid w:val="00C31534"/>
    <w:rsid w:val="00C31D72"/>
    <w:rsid w:val="00C3441E"/>
    <w:rsid w:val="00C401BF"/>
    <w:rsid w:val="00C411BB"/>
    <w:rsid w:val="00C416CD"/>
    <w:rsid w:val="00C424D7"/>
    <w:rsid w:val="00C42DFB"/>
    <w:rsid w:val="00C43776"/>
    <w:rsid w:val="00C447AA"/>
    <w:rsid w:val="00C45B46"/>
    <w:rsid w:val="00C47429"/>
    <w:rsid w:val="00C512FC"/>
    <w:rsid w:val="00C52B72"/>
    <w:rsid w:val="00C5559F"/>
    <w:rsid w:val="00C561AD"/>
    <w:rsid w:val="00C62F9B"/>
    <w:rsid w:val="00C643BB"/>
    <w:rsid w:val="00C64A56"/>
    <w:rsid w:val="00C65388"/>
    <w:rsid w:val="00C66C7D"/>
    <w:rsid w:val="00C73B86"/>
    <w:rsid w:val="00C74157"/>
    <w:rsid w:val="00C74FA9"/>
    <w:rsid w:val="00C760CD"/>
    <w:rsid w:val="00C76228"/>
    <w:rsid w:val="00C81535"/>
    <w:rsid w:val="00C82D60"/>
    <w:rsid w:val="00C85964"/>
    <w:rsid w:val="00C96FA0"/>
    <w:rsid w:val="00C97867"/>
    <w:rsid w:val="00CA103B"/>
    <w:rsid w:val="00CA1B08"/>
    <w:rsid w:val="00CA1E91"/>
    <w:rsid w:val="00CA250D"/>
    <w:rsid w:val="00CA390D"/>
    <w:rsid w:val="00CA4D7C"/>
    <w:rsid w:val="00CA7482"/>
    <w:rsid w:val="00CA7F0F"/>
    <w:rsid w:val="00CB2852"/>
    <w:rsid w:val="00CB5861"/>
    <w:rsid w:val="00CB5DEA"/>
    <w:rsid w:val="00CB7DF6"/>
    <w:rsid w:val="00CC4A28"/>
    <w:rsid w:val="00CD0F80"/>
    <w:rsid w:val="00CD29DE"/>
    <w:rsid w:val="00CD4A33"/>
    <w:rsid w:val="00CE207A"/>
    <w:rsid w:val="00CE253C"/>
    <w:rsid w:val="00CE34FA"/>
    <w:rsid w:val="00CE459B"/>
    <w:rsid w:val="00CE5E50"/>
    <w:rsid w:val="00CE6DAC"/>
    <w:rsid w:val="00CF00C7"/>
    <w:rsid w:val="00CF1639"/>
    <w:rsid w:val="00CF3B47"/>
    <w:rsid w:val="00CF48C2"/>
    <w:rsid w:val="00CF4A91"/>
    <w:rsid w:val="00CF612E"/>
    <w:rsid w:val="00D02291"/>
    <w:rsid w:val="00D04FB9"/>
    <w:rsid w:val="00D06A14"/>
    <w:rsid w:val="00D07FF9"/>
    <w:rsid w:val="00D12075"/>
    <w:rsid w:val="00D13FD6"/>
    <w:rsid w:val="00D144CA"/>
    <w:rsid w:val="00D15A68"/>
    <w:rsid w:val="00D170D1"/>
    <w:rsid w:val="00D2098C"/>
    <w:rsid w:val="00D20FA5"/>
    <w:rsid w:val="00D23363"/>
    <w:rsid w:val="00D23529"/>
    <w:rsid w:val="00D24ABE"/>
    <w:rsid w:val="00D27A93"/>
    <w:rsid w:val="00D33EE5"/>
    <w:rsid w:val="00D33F86"/>
    <w:rsid w:val="00D3404A"/>
    <w:rsid w:val="00D37D00"/>
    <w:rsid w:val="00D40796"/>
    <w:rsid w:val="00D40D50"/>
    <w:rsid w:val="00D417E1"/>
    <w:rsid w:val="00D430DF"/>
    <w:rsid w:val="00D44DD9"/>
    <w:rsid w:val="00D45B62"/>
    <w:rsid w:val="00D45F1E"/>
    <w:rsid w:val="00D46CBA"/>
    <w:rsid w:val="00D50D3C"/>
    <w:rsid w:val="00D53949"/>
    <w:rsid w:val="00D54079"/>
    <w:rsid w:val="00D549E0"/>
    <w:rsid w:val="00D557E5"/>
    <w:rsid w:val="00D60A2F"/>
    <w:rsid w:val="00D61219"/>
    <w:rsid w:val="00D640ED"/>
    <w:rsid w:val="00D65397"/>
    <w:rsid w:val="00D6655E"/>
    <w:rsid w:val="00D67092"/>
    <w:rsid w:val="00D677E7"/>
    <w:rsid w:val="00D70381"/>
    <w:rsid w:val="00D70616"/>
    <w:rsid w:val="00D71DD8"/>
    <w:rsid w:val="00D7270E"/>
    <w:rsid w:val="00D74366"/>
    <w:rsid w:val="00D83636"/>
    <w:rsid w:val="00D83FB0"/>
    <w:rsid w:val="00D84073"/>
    <w:rsid w:val="00D840C3"/>
    <w:rsid w:val="00D8664C"/>
    <w:rsid w:val="00D91BBD"/>
    <w:rsid w:val="00D93BDB"/>
    <w:rsid w:val="00D93C06"/>
    <w:rsid w:val="00DA035E"/>
    <w:rsid w:val="00DA2A7E"/>
    <w:rsid w:val="00DA3B37"/>
    <w:rsid w:val="00DA5CEF"/>
    <w:rsid w:val="00DA7836"/>
    <w:rsid w:val="00DB0482"/>
    <w:rsid w:val="00DB0789"/>
    <w:rsid w:val="00DB0B67"/>
    <w:rsid w:val="00DB107B"/>
    <w:rsid w:val="00DB6FE4"/>
    <w:rsid w:val="00DB7CC5"/>
    <w:rsid w:val="00DC1095"/>
    <w:rsid w:val="00DC1455"/>
    <w:rsid w:val="00DC2219"/>
    <w:rsid w:val="00DC287F"/>
    <w:rsid w:val="00DC7EF8"/>
    <w:rsid w:val="00DD1B7E"/>
    <w:rsid w:val="00DD2A26"/>
    <w:rsid w:val="00DD529E"/>
    <w:rsid w:val="00DD6B7F"/>
    <w:rsid w:val="00DD7FE9"/>
    <w:rsid w:val="00DF069E"/>
    <w:rsid w:val="00DF2C68"/>
    <w:rsid w:val="00E00F46"/>
    <w:rsid w:val="00E056CD"/>
    <w:rsid w:val="00E058E4"/>
    <w:rsid w:val="00E07BDD"/>
    <w:rsid w:val="00E10E58"/>
    <w:rsid w:val="00E113EC"/>
    <w:rsid w:val="00E116DF"/>
    <w:rsid w:val="00E123C5"/>
    <w:rsid w:val="00E14E5D"/>
    <w:rsid w:val="00E15970"/>
    <w:rsid w:val="00E32759"/>
    <w:rsid w:val="00E33AB0"/>
    <w:rsid w:val="00E348A5"/>
    <w:rsid w:val="00E40DAC"/>
    <w:rsid w:val="00E42755"/>
    <w:rsid w:val="00E42BF7"/>
    <w:rsid w:val="00E43B6D"/>
    <w:rsid w:val="00E51257"/>
    <w:rsid w:val="00E54A89"/>
    <w:rsid w:val="00E614F2"/>
    <w:rsid w:val="00E6697D"/>
    <w:rsid w:val="00E66B9E"/>
    <w:rsid w:val="00E71175"/>
    <w:rsid w:val="00E73FED"/>
    <w:rsid w:val="00E75290"/>
    <w:rsid w:val="00E803DC"/>
    <w:rsid w:val="00E9104D"/>
    <w:rsid w:val="00E9104F"/>
    <w:rsid w:val="00E9115F"/>
    <w:rsid w:val="00E913E2"/>
    <w:rsid w:val="00E932ED"/>
    <w:rsid w:val="00E965BD"/>
    <w:rsid w:val="00EA0389"/>
    <w:rsid w:val="00EA0ED5"/>
    <w:rsid w:val="00EA117C"/>
    <w:rsid w:val="00EA3358"/>
    <w:rsid w:val="00EA481E"/>
    <w:rsid w:val="00EA76F3"/>
    <w:rsid w:val="00EA7AE7"/>
    <w:rsid w:val="00EB27C2"/>
    <w:rsid w:val="00EB32D4"/>
    <w:rsid w:val="00EB47E7"/>
    <w:rsid w:val="00EB4BF1"/>
    <w:rsid w:val="00EB53BE"/>
    <w:rsid w:val="00EB592E"/>
    <w:rsid w:val="00EB5DEB"/>
    <w:rsid w:val="00EB602F"/>
    <w:rsid w:val="00EB7936"/>
    <w:rsid w:val="00EC0F42"/>
    <w:rsid w:val="00EC325E"/>
    <w:rsid w:val="00EC4C56"/>
    <w:rsid w:val="00EC65E3"/>
    <w:rsid w:val="00EC6633"/>
    <w:rsid w:val="00ED148D"/>
    <w:rsid w:val="00ED2338"/>
    <w:rsid w:val="00ED4B6B"/>
    <w:rsid w:val="00ED5F41"/>
    <w:rsid w:val="00EE229B"/>
    <w:rsid w:val="00EE7B55"/>
    <w:rsid w:val="00EF1B04"/>
    <w:rsid w:val="00EF3860"/>
    <w:rsid w:val="00EF42E4"/>
    <w:rsid w:val="00EF669D"/>
    <w:rsid w:val="00F01347"/>
    <w:rsid w:val="00F01483"/>
    <w:rsid w:val="00F064C2"/>
    <w:rsid w:val="00F067C7"/>
    <w:rsid w:val="00F14190"/>
    <w:rsid w:val="00F144D9"/>
    <w:rsid w:val="00F178D3"/>
    <w:rsid w:val="00F2402F"/>
    <w:rsid w:val="00F277B3"/>
    <w:rsid w:val="00F30A15"/>
    <w:rsid w:val="00F3117E"/>
    <w:rsid w:val="00F338AF"/>
    <w:rsid w:val="00F34A5F"/>
    <w:rsid w:val="00F357CB"/>
    <w:rsid w:val="00F361D2"/>
    <w:rsid w:val="00F43004"/>
    <w:rsid w:val="00F46966"/>
    <w:rsid w:val="00F50A25"/>
    <w:rsid w:val="00F50D86"/>
    <w:rsid w:val="00F513B5"/>
    <w:rsid w:val="00F53CB8"/>
    <w:rsid w:val="00F53EA7"/>
    <w:rsid w:val="00F56E96"/>
    <w:rsid w:val="00F606E4"/>
    <w:rsid w:val="00F60E02"/>
    <w:rsid w:val="00F63FD9"/>
    <w:rsid w:val="00F64D09"/>
    <w:rsid w:val="00F70E19"/>
    <w:rsid w:val="00F719CF"/>
    <w:rsid w:val="00F73E7A"/>
    <w:rsid w:val="00F76C6A"/>
    <w:rsid w:val="00F86132"/>
    <w:rsid w:val="00F869B5"/>
    <w:rsid w:val="00F875D9"/>
    <w:rsid w:val="00F876FB"/>
    <w:rsid w:val="00F931CB"/>
    <w:rsid w:val="00FA1E6D"/>
    <w:rsid w:val="00FA3AA0"/>
    <w:rsid w:val="00FA3CE9"/>
    <w:rsid w:val="00FA6E90"/>
    <w:rsid w:val="00FB0C8A"/>
    <w:rsid w:val="00FB1706"/>
    <w:rsid w:val="00FB39C9"/>
    <w:rsid w:val="00FB3E39"/>
    <w:rsid w:val="00FB6E23"/>
    <w:rsid w:val="00FB7FAE"/>
    <w:rsid w:val="00FC0003"/>
    <w:rsid w:val="00FC02D8"/>
    <w:rsid w:val="00FC4BD4"/>
    <w:rsid w:val="00FD0CAD"/>
    <w:rsid w:val="00FD6398"/>
    <w:rsid w:val="00FE2BEE"/>
    <w:rsid w:val="00FE3DA4"/>
    <w:rsid w:val="00FE78B4"/>
    <w:rsid w:val="00FF068A"/>
    <w:rsid w:val="00FF2C17"/>
    <w:rsid w:val="00FF40B6"/>
    <w:rsid w:val="00FF4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3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 w:type="character" w:customStyle="1" w:styleId="linktodoc">
    <w:name w:val="linktodoc"/>
    <w:basedOn w:val="Fuentedeprrafopredeter"/>
    <w:rsid w:val="0018755D"/>
  </w:style>
  <w:style w:type="character" w:customStyle="1" w:styleId="anchor">
    <w:name w:val="anchor"/>
    <w:basedOn w:val="Fuentedeprrafopredeter"/>
    <w:rsid w:val="000516A3"/>
  </w:style>
  <w:style w:type="paragraph" w:customStyle="1" w:styleId="ien">
    <w:name w:val="ien"/>
    <w:basedOn w:val="Normal"/>
    <w:rsid w:val="001B78AD"/>
    <w:pPr>
      <w:spacing w:before="100" w:beforeAutospacing="1" w:after="100" w:afterAutospacing="1"/>
    </w:pPr>
  </w:style>
  <w:style w:type="character" w:customStyle="1" w:styleId="nt">
    <w:name w:val="nt"/>
    <w:basedOn w:val="Fuentedeprrafopredeter"/>
    <w:rsid w:val="001B78AD"/>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pais.com/tag/ts_tribunal_supremo/a/"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boe.es/buscar/act.php?id=BOE-A-1978-31229" TargetMode="External"/><Relationship Id="rId4" Type="http://schemas.openxmlformats.org/officeDocument/2006/relationships/settings" Target="settings.xml"/><Relationship Id="rId9" Type="http://schemas.openxmlformats.org/officeDocument/2006/relationships/hyperlink" Target="http://politica.elpais.com/politica/2014/09/30/actualidad/1412090502_728390.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95D8C-4E9C-49F3-AE2B-3124FC959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1006</Words>
  <Characters>5535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6528</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3</cp:revision>
  <cp:lastPrinted>2016-03-23T09:20:00Z</cp:lastPrinted>
  <dcterms:created xsi:type="dcterms:W3CDTF">2016-05-04T16:22:00Z</dcterms:created>
  <dcterms:modified xsi:type="dcterms:W3CDTF">2016-05-09T17:25:00Z</dcterms:modified>
</cp:coreProperties>
</file>