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007" w:rsidRPr="009A2007" w:rsidRDefault="009A2007" w:rsidP="009A2007">
      <w:pPr>
        <w:spacing w:after="98" w:line="360" w:lineRule="auto"/>
        <w:jc w:val="both"/>
        <w:rPr>
          <w:rFonts w:ascii="Arial" w:hAnsi="Arial" w:cs="Arial"/>
        </w:rPr>
      </w:pPr>
      <w:r>
        <w:rPr>
          <w:rFonts w:ascii="Arial" w:hAnsi="Arial" w:cs="Arial"/>
          <w:bCs/>
          <w:kern w:val="36"/>
        </w:rPr>
        <w:t xml:space="preserve">CIVIL. ARRENDAMIENTOS. </w:t>
      </w:r>
      <w:r w:rsidRPr="00834792">
        <w:rPr>
          <w:rFonts w:ascii="Arial" w:hAnsi="Arial" w:cs="Arial"/>
          <w:bCs/>
          <w:kern w:val="36"/>
        </w:rPr>
        <w:t>En caso de desistimiento del arrendatario de local de negocio, no previsto contractualmente ni aceptado, deben satisfacerse todas las rentas pactadas, sin posibilidad de moderación judicial</w:t>
      </w:r>
      <w:r>
        <w:rPr>
          <w:rFonts w:ascii="Arial" w:hAnsi="Arial" w:cs="Arial"/>
          <w:bCs/>
          <w:kern w:val="36"/>
        </w:rPr>
        <w:t xml:space="preserve">. </w:t>
      </w:r>
      <w:r w:rsidRPr="00834792">
        <w:rPr>
          <w:rFonts w:ascii="Arial" w:hAnsi="Arial" w:cs="Arial"/>
        </w:rPr>
        <w:t xml:space="preserve">El Pleno de la Sala Primera del Tribunal Supremo ha dictado una </w:t>
      </w:r>
      <w:r w:rsidRPr="00834792">
        <w:rPr>
          <w:rFonts w:ascii="Arial" w:hAnsi="Arial" w:cs="Arial"/>
          <w:bCs/>
        </w:rPr>
        <w:t>sentencia de fecha 18 de marzo de 2016 (sentencia número 183/2016, ponente señor Arroyo Fiestas),</w:t>
      </w:r>
      <w:r w:rsidRPr="00834792">
        <w:rPr>
          <w:rFonts w:ascii="Arial" w:hAnsi="Arial" w:cs="Arial"/>
        </w:rPr>
        <w:t xml:space="preserve"> por la que establece que, en los arrendamientos de local de negocio, si el arrendatario desiste del contrato antes de su finalización sin que exista cláusula que contemple esta posibilidad y sin que el arrendador acepte el desistimiento, procede el pago de la totalidad de las rentas adeudadas. Además, al no tratarse de una indemnización de daños y perjuicios, no es posible una moderación judicial de la cuantía.</w:t>
      </w:r>
      <w:r w:rsidRPr="00834792">
        <w:rPr>
          <w:rFonts w:ascii="Arial" w:hAnsi="Arial" w:cs="Arial"/>
          <w:bCs/>
        </w:rPr>
        <w:t xml:space="preserve"> </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rPr>
        <w:t>El contrato de arrendamiento litigioso, para uso distinto de vivienda, se inició el 1 de julio de 2006 y finalizaba el 30 de junio de 2011 (cinco años).</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rPr>
        <w:t xml:space="preserve">En los primeros meses del año 2009 se iniciaron obras en la calle A (lugar en el que radica el local), una calle principal de la ciudad de Sevilla, obras que fueron de larga duración y dificultaban el acceso, pero no impedían el ejercicio de la actividad comercial. El 5 de agosto de 2009 las arrendatarias entregaron las llaves a la arrendadora por medio de servicio de mensajería. Al </w:t>
      </w:r>
      <w:proofErr w:type="spellStart"/>
      <w:r w:rsidRPr="00834792">
        <w:rPr>
          <w:rFonts w:ascii="Arial" w:hAnsi="Arial" w:cs="Arial"/>
        </w:rPr>
        <w:t>burofax</w:t>
      </w:r>
      <w:proofErr w:type="spellEnd"/>
      <w:r w:rsidRPr="00834792">
        <w:rPr>
          <w:rFonts w:ascii="Arial" w:hAnsi="Arial" w:cs="Arial"/>
        </w:rPr>
        <w:t xml:space="preserve"> recibido se opuso la arrendadora, insistiendo en la necesidad del cumplimiento del contrato. Las arrendatarias arrendaron un nuevo local, de idénticas características, a otro propietario, en la calle aledaña V, en la que también se ejecutaban obras.</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rPr>
        <w:t xml:space="preserve">En procedimiento de juicio ordinario, la arrendadora del local pedía en su demanda que se declarase la subsistencia del contrato de arrendamiento de un local de negocio del centro de Sevilla, y se condenase a la parte demandada a continuar dando cumplimiento a las estipulaciones del contrato, y por tanto se </w:t>
      </w:r>
      <w:r w:rsidRPr="00834792">
        <w:rPr>
          <w:rFonts w:ascii="Arial" w:hAnsi="Arial" w:cs="Arial"/>
        </w:rPr>
        <w:lastRenderedPageBreak/>
        <w:t>condenase a los arrendatarios al pago de las rentas que se han devengado, y todas las que se devenguen durante la tramitación de la sentencia.</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rPr>
        <w:t>La parte demandada se opuso a la demanda y planteó reconvención solicitando que el contrato se declarase resuelto, con efectos de 30 de junio de 2009, por incumplimiento del arrendador,  incumplimiento alegado por haberse iniciado obras en la calle donde se situaba el local, obras que fueron de larga duración y que dificultaban el acceso, pero que no impedían el ejercicio de la actividad comercial. </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rPr>
        <w:t>La sentencia de primera instancia estimó parcialmente la demanda, al considerar que las demandadas habían entregado las llaves del local y la arrendadora lo había tenido a su disposición, pudiendo haber dispuesto del local en cuestión, condena a las demandadas, solidariamente al pago de las rentas adeudadas de siete mensualidades, ejerciendo la facultad moderadora y desestima la reconvención al considerar que no había acreditado ningún incumplimiento por parte de la arrendadora.</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rPr>
        <w:t>Interpuesto recurso de apelación por la demandante, la Audiencia Provincial estimó el recurso revocando la sentencia de Primera Instancia, condena a las demandadas (arrendatarias) al pago de la totalidad de las rentas que las demandadas dejaron de abonar hasta la terminación según contrato de arrendamiento.</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rPr>
        <w:t xml:space="preserve">Considera que no procede la moderación en cuanto a la suma indemnizatoria solicitada por impago de las rentas, pues no es de aplicación el art. 1154 </w:t>
      </w:r>
      <w:proofErr w:type="spellStart"/>
      <w:r w:rsidRPr="00834792">
        <w:rPr>
          <w:rFonts w:ascii="Arial" w:hAnsi="Arial" w:cs="Arial"/>
        </w:rPr>
        <w:t>CC</w:t>
      </w:r>
      <w:proofErr w:type="spellEnd"/>
      <w:r w:rsidRPr="00834792">
        <w:rPr>
          <w:rFonts w:ascii="Arial" w:hAnsi="Arial" w:cs="Arial"/>
        </w:rPr>
        <w:t xml:space="preserve">, ni nos hallamos ante una responsabilidad que proceda de un incumplimiento negligente del artículo 1103 </w:t>
      </w:r>
      <w:proofErr w:type="spellStart"/>
      <w:r w:rsidRPr="00834792">
        <w:rPr>
          <w:rFonts w:ascii="Arial" w:hAnsi="Arial" w:cs="Arial"/>
        </w:rPr>
        <w:t>CC.</w:t>
      </w:r>
      <w:proofErr w:type="spellEnd"/>
      <w:r w:rsidRPr="00834792">
        <w:rPr>
          <w:rFonts w:ascii="Arial" w:hAnsi="Arial" w:cs="Arial"/>
        </w:rPr>
        <w:t> </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rPr>
        <w:t xml:space="preserve">Asimismo argumenta que el hecho de que la arrendadora tuviera el local a su disposición desde agosto de 2009 y pudiera arrendarlo no significa seguridad </w:t>
      </w:r>
      <w:r w:rsidRPr="00834792">
        <w:rPr>
          <w:rFonts w:ascii="Arial" w:hAnsi="Arial" w:cs="Arial"/>
        </w:rPr>
        <w:lastRenderedPageBreak/>
        <w:t>de que se encuentre algún interesado que lo arriende en condiciones similares a las pactadas con las arrendatarias y, en todo caso, corresponde a las arrendatarias acreditar que el arrendador pudo arrendar y no lo hizo, sin que se haya probado tal extremo. </w:t>
      </w:r>
    </w:p>
    <w:p w:rsidR="009A2007" w:rsidRPr="007E2FD6" w:rsidRDefault="009A2007" w:rsidP="009A2007">
      <w:pPr>
        <w:spacing w:before="100" w:beforeAutospacing="1" w:after="100" w:afterAutospacing="1" w:line="360" w:lineRule="auto"/>
        <w:jc w:val="both"/>
        <w:rPr>
          <w:rFonts w:ascii="Arial" w:hAnsi="Arial" w:cs="Arial"/>
        </w:rPr>
      </w:pPr>
      <w:r w:rsidRPr="00834792">
        <w:rPr>
          <w:rFonts w:ascii="Arial" w:hAnsi="Arial" w:cs="Arial"/>
        </w:rPr>
        <w:t>Interpuesto recurso de casación contra la sentencia de la AP Sevilla, es desestimado por el pleno de la Sala. </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rPr>
        <w:t>Sus razonamientos se contienen en los siguientes fundamentos de Derecho:</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rPr>
        <w:t>“</w:t>
      </w:r>
      <w:r w:rsidRPr="00834792">
        <w:rPr>
          <w:rFonts w:ascii="Arial" w:hAnsi="Arial" w:cs="Arial"/>
          <w:bCs/>
        </w:rPr>
        <w:t>TERCERO</w:t>
      </w:r>
      <w:r w:rsidRPr="00834792">
        <w:rPr>
          <w:rFonts w:ascii="Arial" w:hAnsi="Arial" w:cs="Arial"/>
        </w:rPr>
        <w:t>.- Motivo único</w:t>
      </w:r>
      <w:r w:rsidRPr="00834792">
        <w:rPr>
          <w:rFonts w:ascii="Arial" w:hAnsi="Arial" w:cs="Arial"/>
          <w:iCs/>
        </w:rPr>
        <w:t xml:space="preserve">. </w:t>
      </w:r>
      <w:r w:rsidRPr="00834792">
        <w:rPr>
          <w:rFonts w:ascii="Arial" w:hAnsi="Arial" w:cs="Arial"/>
        </w:rPr>
        <w:t xml:space="preserve">Al amparo del art. 477.2.3º de la </w:t>
      </w:r>
      <w:proofErr w:type="spellStart"/>
      <w:r w:rsidRPr="00834792">
        <w:rPr>
          <w:rFonts w:ascii="Arial" w:hAnsi="Arial" w:cs="Arial"/>
        </w:rPr>
        <w:t>LEC</w:t>
      </w:r>
      <w:proofErr w:type="spellEnd"/>
      <w:r w:rsidRPr="00834792">
        <w:rPr>
          <w:rFonts w:ascii="Arial" w:hAnsi="Arial" w:cs="Arial"/>
        </w:rPr>
        <w:t xml:space="preserve">, por infracción de los arts. 1124, 1101, 1103 y 1106 del Código Civil, por existencia de interés </w:t>
      </w:r>
      <w:proofErr w:type="spellStart"/>
      <w:r w:rsidRPr="00834792">
        <w:rPr>
          <w:rFonts w:ascii="Arial" w:hAnsi="Arial" w:cs="Arial"/>
        </w:rPr>
        <w:t>casacional</w:t>
      </w:r>
      <w:proofErr w:type="spellEnd"/>
      <w:r w:rsidRPr="00834792">
        <w:rPr>
          <w:rFonts w:ascii="Arial" w:hAnsi="Arial" w:cs="Arial"/>
        </w:rPr>
        <w:t xml:space="preserve"> por infracción de la jurisprudencia del Tribunal Supremo.</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rPr>
        <w:t>Se desestima el motivo. (…)</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rPr>
        <w:t xml:space="preserve">Sobre las consecuencias del desistimiento unilateral del contrato de arrendamiento para uso distinto de vivienda, cuando ambas partes aceptan la resolución, ha declarado esta Sala en sentencia de 29 de mayo de 2014, </w:t>
      </w:r>
      <w:proofErr w:type="spellStart"/>
      <w:r w:rsidRPr="00834792">
        <w:rPr>
          <w:rFonts w:ascii="Arial" w:hAnsi="Arial" w:cs="Arial"/>
        </w:rPr>
        <w:t>rec</w:t>
      </w:r>
      <w:proofErr w:type="spellEnd"/>
      <w:r w:rsidRPr="00834792">
        <w:rPr>
          <w:rFonts w:ascii="Arial" w:hAnsi="Arial" w:cs="Arial"/>
        </w:rPr>
        <w:t>. 449/2012:</w:t>
      </w:r>
    </w:p>
    <w:p w:rsidR="009A2007" w:rsidRPr="00834792" w:rsidRDefault="009A2007" w:rsidP="009A2007">
      <w:pPr>
        <w:spacing w:beforeAutospacing="1" w:after="100" w:afterAutospacing="1" w:line="360" w:lineRule="auto"/>
        <w:jc w:val="both"/>
        <w:rPr>
          <w:rFonts w:ascii="Arial" w:hAnsi="Arial" w:cs="Arial"/>
        </w:rPr>
      </w:pPr>
      <w:r w:rsidRPr="00834792">
        <w:rPr>
          <w:rFonts w:ascii="Arial" w:hAnsi="Arial" w:cs="Arial"/>
        </w:rPr>
        <w:t>«La sentencia de 9 abril 2012 trata de la extinción anticipada del arrendamiento de uso distinto al de vivienda, conforme a la Ley de 1994 y se reclama indemnización por las rentas dejadas de percibir por dicha extinción (desistimiento del arrendatario) anticipada. Recoge la jurisprudencia dictada en aplicación del artículo 56 de la Ley de 1964. Dice literalmente:</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rPr>
        <w:t>"La jurisprudencia de esta Sala de los últimos años, en la cual se declara que «para que sea indemnizable el lucro cesante se requiere necesariamente una evaluación basada en la realidad y dotada de cierta consistencia, como tantas veces ha dicho esta Sala (</w:t>
      </w:r>
      <w:proofErr w:type="spellStart"/>
      <w:r w:rsidRPr="00834792">
        <w:rPr>
          <w:rFonts w:ascii="Arial" w:hAnsi="Arial" w:cs="Arial"/>
        </w:rPr>
        <w:t>SSTS</w:t>
      </w:r>
      <w:proofErr w:type="spellEnd"/>
      <w:r w:rsidRPr="00834792">
        <w:rPr>
          <w:rFonts w:ascii="Arial" w:hAnsi="Arial" w:cs="Arial"/>
        </w:rPr>
        <w:t xml:space="preserve"> 17 de julio de 2002, 27 de octubre de 1992, 8 de julio y 21 de octubre de 1996, entre tantas otras), pues es preciso </w:t>
      </w:r>
      <w:r w:rsidRPr="00834792">
        <w:rPr>
          <w:rFonts w:ascii="Arial" w:hAnsi="Arial" w:cs="Arial"/>
        </w:rPr>
        <w:lastRenderedPageBreak/>
        <w:t>probar que realmente se han dejado de obtener unas ganancias concretas que no han de ser dudosas ni contingentes (</w:t>
      </w:r>
      <w:proofErr w:type="spellStart"/>
      <w:r w:rsidRPr="00834792">
        <w:rPr>
          <w:rFonts w:ascii="Arial" w:hAnsi="Arial" w:cs="Arial"/>
        </w:rPr>
        <w:t>SSTS</w:t>
      </w:r>
      <w:proofErr w:type="spellEnd"/>
      <w:r w:rsidRPr="00834792">
        <w:rPr>
          <w:rFonts w:ascii="Arial" w:hAnsi="Arial" w:cs="Arial"/>
        </w:rPr>
        <w:t xml:space="preserve"> 29 de diciembre de 2000; 14 de julio de 2003, entre otras muchas), y que únicamente se puede establecer mediante una presunción de cómo se habrían sucedido los acontecimientos en el caso de no haber tenido lugar el suceso dañoso (</w:t>
      </w:r>
      <w:proofErr w:type="spellStart"/>
      <w:r w:rsidRPr="00834792">
        <w:rPr>
          <w:rFonts w:ascii="Arial" w:hAnsi="Arial" w:cs="Arial"/>
        </w:rPr>
        <w:t>STS</w:t>
      </w:r>
      <w:proofErr w:type="spellEnd"/>
      <w:r w:rsidRPr="00834792">
        <w:rPr>
          <w:rFonts w:ascii="Arial" w:hAnsi="Arial" w:cs="Arial"/>
        </w:rPr>
        <w:t xml:space="preserve"> 27 de julio 2006)» (</w:t>
      </w:r>
      <w:proofErr w:type="spellStart"/>
      <w:r w:rsidRPr="00834792">
        <w:rPr>
          <w:rFonts w:ascii="Arial" w:hAnsi="Arial" w:cs="Arial"/>
        </w:rPr>
        <w:t>STS</w:t>
      </w:r>
      <w:proofErr w:type="spellEnd"/>
      <w:r w:rsidRPr="00834792">
        <w:rPr>
          <w:rFonts w:ascii="Arial" w:hAnsi="Arial" w:cs="Arial"/>
        </w:rPr>
        <w:t xml:space="preserve"> de 14 de julio de 2006)".</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rPr>
        <w:t>Las razones que justifican la moderación de la cláusula penal en los casos de desistimiento de la relación contractual arrendataria son, en primer lugar, que ésta pretende una indemnización global por incumplimiento total del contrato, a partir del desistimiento, siendo así que la cláusula penal tiene como función, además de la coercitiva, la liquidadora de daños y perjuicios (artículo 1152 del Código Civil y sentencias de 26 marzo de 2009, 10 noviembre 2010, 21 febrero 2012) y no cabe aplicarla automática y enteramente, cuando consta que es superior a los que se han producido realmente».</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rPr>
        <w:t>Esta doctrina de la Sala, invocada por el recurrente hace referencia a un supuesto de resolución del contrato, aceptada como tal por el arrendador.</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bCs/>
        </w:rPr>
        <w:t xml:space="preserve">En este caso estamos ante una solicitud de cumplimiento del contrato, dado que el arrendador no aceptó la resolución a instancia de la parte arrendataria, ni existió incumplimiento alguno del arrendador que motivara la resolución pretendida por la arrendataria mediante reconvención. </w:t>
      </w:r>
      <w:r w:rsidRPr="00834792">
        <w:rPr>
          <w:rFonts w:ascii="Arial" w:hAnsi="Arial" w:cs="Arial"/>
        </w:rPr>
        <w:t>En concreto, en la resolución recurrida no se deduce la aquiescencia del arrendador a la resolución, pese a la entrega de llaves por la arrendataria, ya que cuando el arrendador recibió las llaves se opuso expresamente a la resolución unilateral del contrato, mediante </w:t>
      </w:r>
      <w:proofErr w:type="spellStart"/>
      <w:r w:rsidRPr="00834792">
        <w:rPr>
          <w:rFonts w:ascii="Arial" w:hAnsi="Arial" w:cs="Arial"/>
        </w:rPr>
        <w:t>burofax</w:t>
      </w:r>
      <w:proofErr w:type="spellEnd"/>
      <w:r w:rsidRPr="00834792">
        <w:rPr>
          <w:rFonts w:ascii="Arial" w:hAnsi="Arial" w:cs="Arial"/>
        </w:rPr>
        <w:t xml:space="preserve"> remitido al arrendatario.</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bCs/>
        </w:rPr>
        <w:t>CUARTO</w:t>
      </w:r>
      <w:r w:rsidRPr="00834792">
        <w:rPr>
          <w:rFonts w:ascii="Arial" w:hAnsi="Arial" w:cs="Arial"/>
        </w:rPr>
        <w:t>.- Los tres grupos de casos que se han presentado en la jurisprudencia de la Sala que son:</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bCs/>
        </w:rPr>
        <w:lastRenderedPageBreak/>
        <w:t>1. Casos en los que existe en el contrato de arrendamiento de local de negocio una cláusula que otorga al arrendatario la facultad de resolver (</w:t>
      </w:r>
      <w:proofErr w:type="spellStart"/>
      <w:r w:rsidRPr="00834792">
        <w:rPr>
          <w:rFonts w:ascii="Arial" w:hAnsi="Arial" w:cs="Arial"/>
          <w:bCs/>
          <w:iCs/>
        </w:rPr>
        <w:t>rectius</w:t>
      </w:r>
      <w:proofErr w:type="spellEnd"/>
      <w:r w:rsidRPr="00834792">
        <w:rPr>
          <w:rFonts w:ascii="Arial" w:hAnsi="Arial" w:cs="Arial"/>
          <w:bCs/>
        </w:rPr>
        <w:t>: desistir unilateralmente) el contrato, quedando obligado a pagar al arrendador una determinada cantidad de dinero (multa penitencial)</w:t>
      </w:r>
      <w:r w:rsidRPr="00834792">
        <w:rPr>
          <w:rFonts w:ascii="Arial" w:hAnsi="Arial" w:cs="Arial"/>
        </w:rPr>
        <w:t xml:space="preserve"> (sentencias de 23 de diciembre de 2009 (</w:t>
      </w:r>
      <w:proofErr w:type="spellStart"/>
      <w:r w:rsidRPr="00834792">
        <w:rPr>
          <w:rFonts w:ascii="Arial" w:hAnsi="Arial" w:cs="Arial"/>
        </w:rPr>
        <w:t>rec</w:t>
      </w:r>
      <w:proofErr w:type="spellEnd"/>
      <w:r w:rsidRPr="00834792">
        <w:rPr>
          <w:rFonts w:ascii="Arial" w:hAnsi="Arial" w:cs="Arial"/>
        </w:rPr>
        <w:t>. 1508 de 2005), 6 de noviembre de 2013 (</w:t>
      </w:r>
      <w:proofErr w:type="spellStart"/>
      <w:r w:rsidRPr="00834792">
        <w:rPr>
          <w:rFonts w:ascii="Arial" w:hAnsi="Arial" w:cs="Arial"/>
        </w:rPr>
        <w:t>rec.1589</w:t>
      </w:r>
      <w:proofErr w:type="spellEnd"/>
      <w:r w:rsidRPr="00834792">
        <w:rPr>
          <w:rFonts w:ascii="Arial" w:hAnsi="Arial" w:cs="Arial"/>
        </w:rPr>
        <w:t xml:space="preserve"> de 2011), 10 de diciembre de 2013 (</w:t>
      </w:r>
      <w:proofErr w:type="spellStart"/>
      <w:r w:rsidRPr="00834792">
        <w:rPr>
          <w:rFonts w:ascii="Arial" w:hAnsi="Arial" w:cs="Arial"/>
        </w:rPr>
        <w:t>rec</w:t>
      </w:r>
      <w:proofErr w:type="spellEnd"/>
      <w:r w:rsidRPr="00834792">
        <w:rPr>
          <w:rFonts w:ascii="Arial" w:hAnsi="Arial" w:cs="Arial"/>
        </w:rPr>
        <w:t>. 2237 de 2011) y 29 de mayo de 2014 (</w:t>
      </w:r>
      <w:proofErr w:type="spellStart"/>
      <w:r w:rsidRPr="00834792">
        <w:rPr>
          <w:rFonts w:ascii="Arial" w:hAnsi="Arial" w:cs="Arial"/>
        </w:rPr>
        <w:t>rec</w:t>
      </w:r>
      <w:proofErr w:type="spellEnd"/>
      <w:r w:rsidRPr="00834792">
        <w:rPr>
          <w:rFonts w:ascii="Arial" w:hAnsi="Arial" w:cs="Arial"/>
        </w:rPr>
        <w:t>. 449 de 2012).</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rPr>
        <w:t xml:space="preserve">2. </w:t>
      </w:r>
      <w:r w:rsidRPr="00834792">
        <w:rPr>
          <w:rFonts w:ascii="Arial" w:hAnsi="Arial" w:cs="Arial"/>
          <w:bCs/>
        </w:rPr>
        <w:t xml:space="preserve">Casos en los que dicha cláusula no existe y el arrendatario manifiesta su voluntad de terminar el arrendamiento, pero el arrendador no lo acepta y pide el cumplimiento del contrato, es decir, el pago de las rentas conforme a los vencimientos pactados en el contrato (sentencia de 26 de junio de 2002; </w:t>
      </w:r>
      <w:proofErr w:type="spellStart"/>
      <w:r w:rsidRPr="00834792">
        <w:rPr>
          <w:rFonts w:ascii="Arial" w:hAnsi="Arial" w:cs="Arial"/>
          <w:bCs/>
        </w:rPr>
        <w:t>rec</w:t>
      </w:r>
      <w:proofErr w:type="spellEnd"/>
      <w:r w:rsidRPr="00834792">
        <w:rPr>
          <w:rFonts w:ascii="Arial" w:hAnsi="Arial" w:cs="Arial"/>
          <w:bCs/>
        </w:rPr>
        <w:t>. 54/1997). Es el caso que ahora analizamos.</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bCs/>
        </w:rPr>
        <w:t>3. Casos en los que dicha cláusula tampoco existe pero el arrendatario manifiesta su voluntad de terminar el arrendamiento y el arrendador acepta o acaba por aceptar la resolución del mismo reclamando indemnización de los daños y perjuicios provocados por la resolución</w:t>
      </w:r>
      <w:r w:rsidRPr="00834792">
        <w:rPr>
          <w:rFonts w:ascii="Arial" w:hAnsi="Arial" w:cs="Arial"/>
        </w:rPr>
        <w:t xml:space="preserve"> (sentencia de 9 de abril de 2012; </w:t>
      </w:r>
      <w:proofErr w:type="spellStart"/>
      <w:r w:rsidRPr="00834792">
        <w:rPr>
          <w:rFonts w:ascii="Arial" w:hAnsi="Arial" w:cs="Arial"/>
        </w:rPr>
        <w:t>rec</w:t>
      </w:r>
      <w:proofErr w:type="spellEnd"/>
      <w:r w:rsidRPr="00834792">
        <w:rPr>
          <w:rFonts w:ascii="Arial" w:hAnsi="Arial" w:cs="Arial"/>
        </w:rPr>
        <w:t>. 229 de 2007).</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rPr>
        <w:t xml:space="preserve">Sentado que estamos ante un caso del grupo segundo, debemos convenir con el recurrido y con la resolución recurrida que </w:t>
      </w:r>
      <w:r w:rsidRPr="00834792">
        <w:rPr>
          <w:rFonts w:ascii="Arial" w:hAnsi="Arial" w:cs="Arial"/>
          <w:bCs/>
        </w:rPr>
        <w:t xml:space="preserve">no procede moderación en la indemnización de daños y perjuicios, pues lo solicitado y concedido no fue una indemnización sino el pago de las rentas adeudadas, al promover el demandante (hoy recurrido), exclusivamente, el cumplimiento del contrato (art. 1124 </w:t>
      </w:r>
      <w:proofErr w:type="spellStart"/>
      <w:r w:rsidRPr="00834792">
        <w:rPr>
          <w:rFonts w:ascii="Arial" w:hAnsi="Arial" w:cs="Arial"/>
          <w:bCs/>
        </w:rPr>
        <w:t>CC</w:t>
      </w:r>
      <w:proofErr w:type="spellEnd"/>
      <w:r w:rsidRPr="00834792">
        <w:rPr>
          <w:rFonts w:ascii="Arial" w:hAnsi="Arial" w:cs="Arial"/>
          <w:bCs/>
        </w:rPr>
        <w:t>), unido a que no se aceptó la resolución ni se pactó cláusula penal que permitiese la moderación.</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rPr>
        <w:t xml:space="preserve">Por tanto, procede confirmar la sentencia recurrida dado que se condenó al arrendatario al pago de las rentas que se devengaren hasta el término del </w:t>
      </w:r>
      <w:r w:rsidRPr="00834792">
        <w:rPr>
          <w:rFonts w:ascii="Arial" w:hAnsi="Arial" w:cs="Arial"/>
        </w:rPr>
        <w:lastRenderedPageBreak/>
        <w:t>contrato y sin que conste que el arrendador volviese a alquilarlo, pronunciamiento coherente con la petición de cumplimiento del contrato.</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bCs/>
        </w:rPr>
        <w:t>La petición del demandante (arrendador) no excede de los límites de la buena fe, pues si el arrendatario vio mermados sus ingresos por las obras de la calle (como se presume en la sentencia recurrida), también lo debieron ser las posibilidades de obtener un nuevo arrendatario para el arrendador, todo ello por unas obras ordenadas por el Ayuntamiento y que, por tanto, no estaban bajo el dominio del arrendador. </w:t>
      </w:r>
    </w:p>
    <w:p w:rsidR="009A2007" w:rsidRPr="00834792" w:rsidRDefault="009A2007" w:rsidP="009A2007">
      <w:pPr>
        <w:spacing w:before="100" w:beforeAutospacing="1" w:after="100" w:afterAutospacing="1" w:line="360" w:lineRule="auto"/>
        <w:jc w:val="both"/>
        <w:rPr>
          <w:rFonts w:ascii="Arial" w:hAnsi="Arial" w:cs="Arial"/>
        </w:rPr>
      </w:pPr>
      <w:r w:rsidRPr="00834792">
        <w:rPr>
          <w:rFonts w:ascii="Arial" w:hAnsi="Arial" w:cs="Arial"/>
        </w:rPr>
        <w:t>En cualquier caso, el arrendatario no probó que el arrendador volviese a arrendar el local (como se declara en la sentencia recurrida) o que obstruyese la posibilidad de hacerlo. En concreto se declara en la sentencia recurrida: </w:t>
      </w:r>
    </w:p>
    <w:p w:rsidR="009A2007" w:rsidRPr="00834792" w:rsidRDefault="009A2007" w:rsidP="009A2007">
      <w:pPr>
        <w:spacing w:before="100" w:beforeAutospacing="1" w:after="100" w:afterAutospacing="1" w:line="360" w:lineRule="auto"/>
        <w:ind w:left="708"/>
        <w:jc w:val="both"/>
        <w:rPr>
          <w:rFonts w:ascii="Arial" w:hAnsi="Arial" w:cs="Arial"/>
        </w:rPr>
      </w:pPr>
      <w:r w:rsidRPr="00834792">
        <w:rPr>
          <w:rFonts w:ascii="Arial" w:hAnsi="Arial" w:cs="Arial"/>
        </w:rPr>
        <w:t>«No hay prueba alguna de que el demandante desistiese de la firma de un nuevo arrendamiento pese a tener una oferta cierta, real y concreta de arrendarlo».”</w:t>
      </w:r>
    </w:p>
    <w:p w:rsidR="009A2007" w:rsidRPr="00834792" w:rsidRDefault="009A2007" w:rsidP="009A2007">
      <w:pPr>
        <w:spacing w:line="360" w:lineRule="auto"/>
        <w:jc w:val="both"/>
        <w:rPr>
          <w:rFonts w:ascii="Arial" w:hAnsi="Arial" w:cs="Arial"/>
        </w:rPr>
      </w:pPr>
    </w:p>
    <w:p w:rsidR="00850985" w:rsidRPr="0023080D" w:rsidRDefault="00850985" w:rsidP="009A2007">
      <w:pPr>
        <w:shd w:val="clear" w:color="auto" w:fill="FFFFFF"/>
        <w:spacing w:before="250" w:after="376" w:line="360" w:lineRule="auto"/>
        <w:jc w:val="both"/>
        <w:rPr>
          <w:rFonts w:ascii="Arial" w:hAnsi="Arial" w:cs="Arial"/>
        </w:rPr>
      </w:pPr>
    </w:p>
    <w:p w:rsidR="00B15AF5" w:rsidRDefault="00B15AF5" w:rsidP="009A2007">
      <w:pPr>
        <w:spacing w:line="360" w:lineRule="auto"/>
        <w:ind w:right="-1"/>
        <w:jc w:val="both"/>
        <w:rPr>
          <w:rFonts w:ascii="Arial" w:hAnsi="Arial" w:cs="Arial"/>
        </w:rPr>
      </w:pPr>
    </w:p>
    <w:p w:rsidR="002860A4" w:rsidRDefault="002860A4" w:rsidP="009A2007">
      <w:pPr>
        <w:spacing w:line="360" w:lineRule="auto"/>
        <w:ind w:right="-1"/>
        <w:jc w:val="both"/>
        <w:rPr>
          <w:rFonts w:ascii="Arial" w:hAnsi="Arial" w:cs="Arial"/>
        </w:rPr>
      </w:pPr>
    </w:p>
    <w:p w:rsidR="002860A4" w:rsidRDefault="002860A4" w:rsidP="009A2007">
      <w:pPr>
        <w:spacing w:line="360" w:lineRule="auto"/>
        <w:ind w:right="-1"/>
        <w:jc w:val="both"/>
        <w:rPr>
          <w:rFonts w:ascii="Arial" w:hAnsi="Arial" w:cs="Arial"/>
        </w:rPr>
      </w:pPr>
    </w:p>
    <w:p w:rsidR="002860A4" w:rsidRDefault="002860A4" w:rsidP="009A2007">
      <w:pPr>
        <w:spacing w:line="360" w:lineRule="auto"/>
        <w:ind w:right="-1"/>
        <w:jc w:val="both"/>
        <w:rPr>
          <w:rFonts w:ascii="Arial" w:hAnsi="Arial" w:cs="Arial"/>
        </w:rPr>
      </w:pPr>
    </w:p>
    <w:p w:rsidR="00D8664C" w:rsidRDefault="00D8664C" w:rsidP="009A2007">
      <w:pPr>
        <w:spacing w:line="360" w:lineRule="auto"/>
        <w:ind w:right="-1"/>
        <w:jc w:val="both"/>
        <w:rPr>
          <w:rFonts w:ascii="Arial" w:hAnsi="Arial" w:cs="Arial"/>
        </w:rPr>
      </w:pPr>
    </w:p>
    <w:p w:rsidR="00D8664C" w:rsidRDefault="00D8664C" w:rsidP="009A2007">
      <w:pPr>
        <w:spacing w:line="360" w:lineRule="auto"/>
        <w:ind w:right="-1"/>
        <w:jc w:val="both"/>
        <w:rPr>
          <w:rFonts w:ascii="Arial" w:hAnsi="Arial" w:cs="Arial"/>
        </w:rPr>
      </w:pPr>
    </w:p>
    <w:p w:rsidR="00D8664C" w:rsidRDefault="00D8664C" w:rsidP="009A2007">
      <w:pPr>
        <w:spacing w:line="360" w:lineRule="auto"/>
        <w:ind w:right="-1"/>
        <w:jc w:val="both"/>
        <w:rPr>
          <w:rFonts w:ascii="Arial" w:hAnsi="Arial" w:cs="Arial"/>
        </w:rPr>
      </w:pPr>
    </w:p>
    <w:p w:rsidR="00D8664C" w:rsidRDefault="00D8664C" w:rsidP="009A2007">
      <w:pPr>
        <w:spacing w:line="360" w:lineRule="auto"/>
        <w:ind w:right="-1"/>
        <w:jc w:val="both"/>
        <w:rPr>
          <w:rFonts w:ascii="Arial" w:hAnsi="Arial" w:cs="Arial"/>
        </w:rPr>
      </w:pPr>
    </w:p>
    <w:p w:rsidR="00D8664C" w:rsidRDefault="00D8664C" w:rsidP="009A2007">
      <w:pPr>
        <w:spacing w:line="360" w:lineRule="auto"/>
        <w:ind w:right="-1"/>
        <w:jc w:val="both"/>
        <w:rPr>
          <w:rFonts w:ascii="Arial" w:hAnsi="Arial" w:cs="Arial"/>
        </w:rPr>
      </w:pPr>
    </w:p>
    <w:p w:rsidR="002860A4" w:rsidRDefault="002860A4" w:rsidP="009A2007">
      <w:pPr>
        <w:spacing w:line="360" w:lineRule="auto"/>
        <w:ind w:right="-1"/>
        <w:jc w:val="both"/>
        <w:rPr>
          <w:rFonts w:ascii="Arial" w:hAnsi="Arial" w:cs="Arial"/>
        </w:rPr>
      </w:pPr>
    </w:p>
    <w:p w:rsidR="002860A4" w:rsidRDefault="002860A4" w:rsidP="009A2007">
      <w:pPr>
        <w:spacing w:line="360" w:lineRule="auto"/>
        <w:ind w:right="-1"/>
        <w:jc w:val="both"/>
        <w:rPr>
          <w:rFonts w:ascii="Arial" w:hAnsi="Arial" w:cs="Arial"/>
        </w:rPr>
      </w:pPr>
    </w:p>
    <w:p w:rsidR="002860A4" w:rsidRDefault="002860A4" w:rsidP="009A2007">
      <w:pPr>
        <w:spacing w:line="360" w:lineRule="auto"/>
        <w:ind w:right="-1"/>
        <w:jc w:val="both"/>
        <w:rPr>
          <w:rFonts w:ascii="Arial" w:hAnsi="Arial" w:cs="Arial"/>
        </w:rPr>
      </w:pPr>
    </w:p>
    <w:p w:rsidR="00FE2BEE" w:rsidRDefault="00FE2BEE" w:rsidP="009A2007">
      <w:pPr>
        <w:spacing w:line="360" w:lineRule="auto"/>
        <w:ind w:right="-1"/>
        <w:jc w:val="both"/>
        <w:rPr>
          <w:rFonts w:ascii="Arial" w:hAnsi="Arial" w:cs="Arial"/>
        </w:rPr>
      </w:pPr>
    </w:p>
    <w:p w:rsidR="00767711" w:rsidRDefault="00767711" w:rsidP="009A2007">
      <w:pPr>
        <w:spacing w:line="360" w:lineRule="auto"/>
        <w:ind w:right="-1"/>
        <w:jc w:val="both"/>
        <w:rPr>
          <w:rFonts w:ascii="Arial" w:hAnsi="Arial" w:cs="Arial"/>
        </w:rPr>
      </w:pPr>
    </w:p>
    <w:p w:rsidR="00767711" w:rsidRDefault="00767711" w:rsidP="009A2007">
      <w:pPr>
        <w:spacing w:line="360" w:lineRule="auto"/>
        <w:ind w:right="-1"/>
        <w:jc w:val="both"/>
        <w:rPr>
          <w:rFonts w:ascii="Arial" w:hAnsi="Arial" w:cs="Arial"/>
        </w:rPr>
      </w:pPr>
    </w:p>
    <w:p w:rsidR="00447F11" w:rsidRPr="00C64A56" w:rsidRDefault="00EF42E4" w:rsidP="009A2007">
      <w:pPr>
        <w:spacing w:line="360" w:lineRule="auto"/>
        <w:ind w:right="-1"/>
        <w:jc w:val="both"/>
        <w:rPr>
          <w:rFonts w:ascii="Arial" w:hAnsi="Arial" w:cs="Arial"/>
        </w:rPr>
      </w:pPr>
      <w:r w:rsidRPr="00C64A56">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C64A56" w:rsidRDefault="00EF42E4" w:rsidP="009A2007">
      <w:pPr>
        <w:spacing w:line="360" w:lineRule="auto"/>
        <w:ind w:right="-1"/>
        <w:jc w:val="both"/>
        <w:rPr>
          <w:rFonts w:ascii="Arial" w:hAnsi="Arial" w:cs="Arial"/>
        </w:rPr>
      </w:pPr>
    </w:p>
    <w:p w:rsidR="00EF42E4" w:rsidRPr="00C64A56" w:rsidRDefault="00EF42E4" w:rsidP="009A2007">
      <w:pPr>
        <w:spacing w:line="360" w:lineRule="auto"/>
        <w:ind w:right="-1"/>
        <w:jc w:val="both"/>
        <w:rPr>
          <w:rFonts w:ascii="Arial" w:hAnsi="Arial" w:cs="Arial"/>
        </w:rPr>
      </w:pPr>
    </w:p>
    <w:p w:rsidR="00EF42E4" w:rsidRPr="00C64A56" w:rsidRDefault="00EF42E4" w:rsidP="009A2007">
      <w:pPr>
        <w:spacing w:line="360" w:lineRule="auto"/>
        <w:ind w:right="-1"/>
        <w:jc w:val="both"/>
        <w:rPr>
          <w:rFonts w:ascii="Arial" w:hAnsi="Arial" w:cs="Arial"/>
        </w:rPr>
      </w:pPr>
    </w:p>
    <w:p w:rsidR="00EF42E4" w:rsidRPr="00C64A56" w:rsidRDefault="00EF42E4" w:rsidP="009A2007">
      <w:pPr>
        <w:spacing w:line="360" w:lineRule="auto"/>
        <w:ind w:right="-1"/>
        <w:jc w:val="both"/>
        <w:rPr>
          <w:rFonts w:ascii="Arial" w:hAnsi="Arial" w:cs="Arial"/>
        </w:rPr>
      </w:pPr>
    </w:p>
    <w:p w:rsidR="00005AFB" w:rsidRPr="00C64A56" w:rsidRDefault="00005AFB" w:rsidP="009A2007">
      <w:pPr>
        <w:spacing w:line="360" w:lineRule="auto"/>
        <w:ind w:right="-1"/>
        <w:jc w:val="both"/>
        <w:rPr>
          <w:rFonts w:ascii="Arial" w:hAnsi="Arial" w:cs="Arial"/>
        </w:rPr>
      </w:pPr>
    </w:p>
    <w:p w:rsidR="00005AFB" w:rsidRPr="00C64A56" w:rsidRDefault="00005AFB" w:rsidP="009A2007">
      <w:pPr>
        <w:spacing w:line="360" w:lineRule="auto"/>
        <w:ind w:right="-1"/>
        <w:jc w:val="both"/>
        <w:rPr>
          <w:rFonts w:ascii="Arial" w:hAnsi="Arial" w:cs="Arial"/>
        </w:rPr>
      </w:pPr>
    </w:p>
    <w:sectPr w:rsidR="00005AFB" w:rsidRPr="00C64A56" w:rsidSect="00F50D86">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50A0" w:rsidRDefault="00F550A0">
      <w:r>
        <w:separator/>
      </w:r>
    </w:p>
  </w:endnote>
  <w:endnote w:type="continuationSeparator" w:id="0">
    <w:p w:rsidR="00F550A0" w:rsidRDefault="00F550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E1A3B"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E1A3B"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0A7BAA">
      <w:rPr>
        <w:rStyle w:val="Nmerodepgina"/>
        <w:noProof/>
      </w:rPr>
      <w:t>7</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50A0" w:rsidRDefault="00F550A0">
      <w:r>
        <w:separator/>
      </w:r>
    </w:p>
  </w:footnote>
  <w:footnote w:type="continuationSeparator" w:id="0">
    <w:p w:rsidR="00F550A0" w:rsidRDefault="00F550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E1A3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E1A3B"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E1A3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5"/>
  </w:num>
  <w:num w:numId="3">
    <w:abstractNumId w:val="11"/>
  </w:num>
  <w:num w:numId="4">
    <w:abstractNumId w:val="17"/>
  </w:num>
  <w:num w:numId="5">
    <w:abstractNumId w:val="23"/>
  </w:num>
  <w:num w:numId="6">
    <w:abstractNumId w:val="8"/>
    <w:lvlOverride w:ilvl="0">
      <w:lvl w:ilvl="0">
        <w:numFmt w:val="decimal"/>
        <w:lvlText w:val="%1."/>
        <w:lvlJc w:val="left"/>
      </w:lvl>
    </w:lvlOverride>
  </w:num>
  <w:num w:numId="7">
    <w:abstractNumId w:val="7"/>
  </w:num>
  <w:num w:numId="8">
    <w:abstractNumId w:val="2"/>
  </w:num>
  <w:num w:numId="9">
    <w:abstractNumId w:val="14"/>
  </w:num>
  <w:num w:numId="10">
    <w:abstractNumId w:val="10"/>
  </w:num>
  <w:num w:numId="11">
    <w:abstractNumId w:val="3"/>
  </w:num>
  <w:num w:numId="12">
    <w:abstractNumId w:val="18"/>
  </w:num>
  <w:num w:numId="13">
    <w:abstractNumId w:val="4"/>
  </w:num>
  <w:num w:numId="14">
    <w:abstractNumId w:val="5"/>
  </w:num>
  <w:num w:numId="15">
    <w:abstractNumId w:val="19"/>
  </w:num>
  <w:num w:numId="16">
    <w:abstractNumId w:val="22"/>
  </w:num>
  <w:num w:numId="17">
    <w:abstractNumId w:val="24"/>
  </w:num>
  <w:num w:numId="18">
    <w:abstractNumId w:val="26"/>
  </w:num>
  <w:num w:numId="19">
    <w:abstractNumId w:val="25"/>
  </w:num>
  <w:num w:numId="20">
    <w:abstractNumId w:val="21"/>
  </w:num>
  <w:num w:numId="21">
    <w:abstractNumId w:val="27"/>
  </w:num>
  <w:num w:numId="22">
    <w:abstractNumId w:val="1"/>
  </w:num>
  <w:num w:numId="23">
    <w:abstractNumId w:val="30"/>
  </w:num>
  <w:num w:numId="24">
    <w:abstractNumId w:val="9"/>
  </w:num>
  <w:num w:numId="25">
    <w:abstractNumId w:val="20"/>
  </w:num>
  <w:num w:numId="26">
    <w:abstractNumId w:val="29"/>
  </w:num>
  <w:num w:numId="27">
    <w:abstractNumId w:val="16"/>
  </w:num>
  <w:num w:numId="28">
    <w:abstractNumId w:val="0"/>
  </w:num>
  <w:num w:numId="29">
    <w:abstractNumId w:val="28"/>
  </w:num>
  <w:num w:numId="30">
    <w:abstractNumId w:val="12"/>
  </w:num>
  <w:num w:numId="31">
    <w:abstractNumId w:val="1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grammar="clean"/>
  <w:stylePaneFormatFilter w:val="3F01"/>
  <w:defaultTabStop w:val="708"/>
  <w:hyphenationZone w:val="425"/>
  <w:characterSpacingControl w:val="doNotCompress"/>
  <w:hdrShapeDefaults>
    <o:shapedefaults v:ext="edit" spidmax="33485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55"/>
    <w:rsid w:val="00005799"/>
    <w:rsid w:val="00005938"/>
    <w:rsid w:val="00005AFB"/>
    <w:rsid w:val="000063DE"/>
    <w:rsid w:val="00017DA5"/>
    <w:rsid w:val="0003072D"/>
    <w:rsid w:val="00033922"/>
    <w:rsid w:val="00033CEB"/>
    <w:rsid w:val="000362A9"/>
    <w:rsid w:val="00037D25"/>
    <w:rsid w:val="00042584"/>
    <w:rsid w:val="00044D2E"/>
    <w:rsid w:val="00046A79"/>
    <w:rsid w:val="00051042"/>
    <w:rsid w:val="000516A3"/>
    <w:rsid w:val="0005441C"/>
    <w:rsid w:val="000546BE"/>
    <w:rsid w:val="0005559E"/>
    <w:rsid w:val="00063CF8"/>
    <w:rsid w:val="00067615"/>
    <w:rsid w:val="000677B4"/>
    <w:rsid w:val="00067EEE"/>
    <w:rsid w:val="000743A0"/>
    <w:rsid w:val="00076312"/>
    <w:rsid w:val="00077A88"/>
    <w:rsid w:val="000825EC"/>
    <w:rsid w:val="00083E4E"/>
    <w:rsid w:val="00086F28"/>
    <w:rsid w:val="000915CD"/>
    <w:rsid w:val="00096DA1"/>
    <w:rsid w:val="000A133F"/>
    <w:rsid w:val="000A6A5F"/>
    <w:rsid w:val="000A7BAA"/>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1301C"/>
    <w:rsid w:val="0011338B"/>
    <w:rsid w:val="001172ED"/>
    <w:rsid w:val="00117C70"/>
    <w:rsid w:val="001204C1"/>
    <w:rsid w:val="00126642"/>
    <w:rsid w:val="001360FD"/>
    <w:rsid w:val="00137AEE"/>
    <w:rsid w:val="00140D3C"/>
    <w:rsid w:val="00142C8E"/>
    <w:rsid w:val="0014307B"/>
    <w:rsid w:val="00143B44"/>
    <w:rsid w:val="00144AB1"/>
    <w:rsid w:val="00145211"/>
    <w:rsid w:val="00146353"/>
    <w:rsid w:val="00146577"/>
    <w:rsid w:val="00153427"/>
    <w:rsid w:val="00155425"/>
    <w:rsid w:val="00162E93"/>
    <w:rsid w:val="00163318"/>
    <w:rsid w:val="0016353A"/>
    <w:rsid w:val="00165508"/>
    <w:rsid w:val="00170C4A"/>
    <w:rsid w:val="00170D3F"/>
    <w:rsid w:val="001737EB"/>
    <w:rsid w:val="001765E7"/>
    <w:rsid w:val="001771E6"/>
    <w:rsid w:val="00181091"/>
    <w:rsid w:val="001829D4"/>
    <w:rsid w:val="00185C69"/>
    <w:rsid w:val="0018755D"/>
    <w:rsid w:val="00190868"/>
    <w:rsid w:val="001949CF"/>
    <w:rsid w:val="001969A3"/>
    <w:rsid w:val="001A15CD"/>
    <w:rsid w:val="001A6D78"/>
    <w:rsid w:val="001B78AD"/>
    <w:rsid w:val="001C0F7E"/>
    <w:rsid w:val="001C6A86"/>
    <w:rsid w:val="001D6AB5"/>
    <w:rsid w:val="001D7106"/>
    <w:rsid w:val="001E0A4E"/>
    <w:rsid w:val="001E0D97"/>
    <w:rsid w:val="001E491C"/>
    <w:rsid w:val="001E5F6F"/>
    <w:rsid w:val="001F194A"/>
    <w:rsid w:val="001F56C0"/>
    <w:rsid w:val="00202275"/>
    <w:rsid w:val="00206865"/>
    <w:rsid w:val="00214BAE"/>
    <w:rsid w:val="00222D9D"/>
    <w:rsid w:val="00224282"/>
    <w:rsid w:val="00225477"/>
    <w:rsid w:val="00232DFC"/>
    <w:rsid w:val="0023355F"/>
    <w:rsid w:val="00236A04"/>
    <w:rsid w:val="00241163"/>
    <w:rsid w:val="00241A9E"/>
    <w:rsid w:val="00247F1A"/>
    <w:rsid w:val="00250136"/>
    <w:rsid w:val="0025036B"/>
    <w:rsid w:val="002503E9"/>
    <w:rsid w:val="00250B2A"/>
    <w:rsid w:val="00255846"/>
    <w:rsid w:val="002661E3"/>
    <w:rsid w:val="00266FF5"/>
    <w:rsid w:val="00267153"/>
    <w:rsid w:val="00270928"/>
    <w:rsid w:val="002744D4"/>
    <w:rsid w:val="002759CE"/>
    <w:rsid w:val="00283E8B"/>
    <w:rsid w:val="00284FAC"/>
    <w:rsid w:val="002860A4"/>
    <w:rsid w:val="00287D71"/>
    <w:rsid w:val="002A0150"/>
    <w:rsid w:val="002A06DB"/>
    <w:rsid w:val="002A2EE4"/>
    <w:rsid w:val="002A6352"/>
    <w:rsid w:val="002A670B"/>
    <w:rsid w:val="002B04BE"/>
    <w:rsid w:val="002B268C"/>
    <w:rsid w:val="002B4021"/>
    <w:rsid w:val="002B579C"/>
    <w:rsid w:val="002B7B7F"/>
    <w:rsid w:val="002C2243"/>
    <w:rsid w:val="002C61B5"/>
    <w:rsid w:val="002D11AD"/>
    <w:rsid w:val="002D2ED2"/>
    <w:rsid w:val="002D32FE"/>
    <w:rsid w:val="002D50B8"/>
    <w:rsid w:val="002E053F"/>
    <w:rsid w:val="002F042F"/>
    <w:rsid w:val="002F0907"/>
    <w:rsid w:val="002F6D88"/>
    <w:rsid w:val="002F7B53"/>
    <w:rsid w:val="00303054"/>
    <w:rsid w:val="00303BB2"/>
    <w:rsid w:val="003067DF"/>
    <w:rsid w:val="00306DA2"/>
    <w:rsid w:val="00311908"/>
    <w:rsid w:val="003149AA"/>
    <w:rsid w:val="0031620C"/>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668D"/>
    <w:rsid w:val="00366E63"/>
    <w:rsid w:val="0036733A"/>
    <w:rsid w:val="00367EC5"/>
    <w:rsid w:val="00372666"/>
    <w:rsid w:val="00373292"/>
    <w:rsid w:val="00374027"/>
    <w:rsid w:val="003A1F2B"/>
    <w:rsid w:val="003A3123"/>
    <w:rsid w:val="003B5346"/>
    <w:rsid w:val="003B6FA8"/>
    <w:rsid w:val="003B70A6"/>
    <w:rsid w:val="003C1F2E"/>
    <w:rsid w:val="003C242B"/>
    <w:rsid w:val="003D0308"/>
    <w:rsid w:val="003D1CE9"/>
    <w:rsid w:val="003D31EA"/>
    <w:rsid w:val="003D5A4F"/>
    <w:rsid w:val="003D694C"/>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E9C"/>
    <w:rsid w:val="00445C86"/>
    <w:rsid w:val="00446F88"/>
    <w:rsid w:val="00447A97"/>
    <w:rsid w:val="00447B6D"/>
    <w:rsid w:val="00447F11"/>
    <w:rsid w:val="00450935"/>
    <w:rsid w:val="00453887"/>
    <w:rsid w:val="00453DE1"/>
    <w:rsid w:val="00457758"/>
    <w:rsid w:val="0046105C"/>
    <w:rsid w:val="00464DB2"/>
    <w:rsid w:val="00465065"/>
    <w:rsid w:val="0046656C"/>
    <w:rsid w:val="00470834"/>
    <w:rsid w:val="004712E1"/>
    <w:rsid w:val="0047172D"/>
    <w:rsid w:val="00472F61"/>
    <w:rsid w:val="004744B1"/>
    <w:rsid w:val="00475782"/>
    <w:rsid w:val="0048064B"/>
    <w:rsid w:val="004813E1"/>
    <w:rsid w:val="0048268F"/>
    <w:rsid w:val="00483D29"/>
    <w:rsid w:val="004856E9"/>
    <w:rsid w:val="0048734A"/>
    <w:rsid w:val="004908A3"/>
    <w:rsid w:val="0049251A"/>
    <w:rsid w:val="0049641D"/>
    <w:rsid w:val="004A04E5"/>
    <w:rsid w:val="004A2021"/>
    <w:rsid w:val="004A4482"/>
    <w:rsid w:val="004A6D3B"/>
    <w:rsid w:val="004B28BD"/>
    <w:rsid w:val="004C1F35"/>
    <w:rsid w:val="004C2912"/>
    <w:rsid w:val="004C358F"/>
    <w:rsid w:val="004C4D7A"/>
    <w:rsid w:val="004C5EF2"/>
    <w:rsid w:val="004D11E2"/>
    <w:rsid w:val="004D231A"/>
    <w:rsid w:val="004D2CC9"/>
    <w:rsid w:val="004D4741"/>
    <w:rsid w:val="004D4815"/>
    <w:rsid w:val="004D7C75"/>
    <w:rsid w:val="004E07F8"/>
    <w:rsid w:val="004E0928"/>
    <w:rsid w:val="004F1AE6"/>
    <w:rsid w:val="004F39A9"/>
    <w:rsid w:val="004F4321"/>
    <w:rsid w:val="004F494F"/>
    <w:rsid w:val="004F7038"/>
    <w:rsid w:val="00502F2D"/>
    <w:rsid w:val="005109CF"/>
    <w:rsid w:val="00510B3A"/>
    <w:rsid w:val="005111CB"/>
    <w:rsid w:val="00511E39"/>
    <w:rsid w:val="00511F20"/>
    <w:rsid w:val="005160A3"/>
    <w:rsid w:val="00517927"/>
    <w:rsid w:val="0052042B"/>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13E9"/>
    <w:rsid w:val="00594857"/>
    <w:rsid w:val="00595B9D"/>
    <w:rsid w:val="00595E1F"/>
    <w:rsid w:val="005B2316"/>
    <w:rsid w:val="005B364E"/>
    <w:rsid w:val="005B56D9"/>
    <w:rsid w:val="005B75C9"/>
    <w:rsid w:val="005C19B9"/>
    <w:rsid w:val="005C42C4"/>
    <w:rsid w:val="005C523E"/>
    <w:rsid w:val="005D24D0"/>
    <w:rsid w:val="005D7F03"/>
    <w:rsid w:val="005E548E"/>
    <w:rsid w:val="005E56CF"/>
    <w:rsid w:val="005F23CF"/>
    <w:rsid w:val="005F41D2"/>
    <w:rsid w:val="005F6243"/>
    <w:rsid w:val="005F7C83"/>
    <w:rsid w:val="0060154D"/>
    <w:rsid w:val="0061004A"/>
    <w:rsid w:val="00621861"/>
    <w:rsid w:val="0063121F"/>
    <w:rsid w:val="00632790"/>
    <w:rsid w:val="00643141"/>
    <w:rsid w:val="006505F3"/>
    <w:rsid w:val="00655691"/>
    <w:rsid w:val="00657119"/>
    <w:rsid w:val="00657BF6"/>
    <w:rsid w:val="0066302C"/>
    <w:rsid w:val="006631FB"/>
    <w:rsid w:val="006636A4"/>
    <w:rsid w:val="00664269"/>
    <w:rsid w:val="00664504"/>
    <w:rsid w:val="006716D9"/>
    <w:rsid w:val="00676AA2"/>
    <w:rsid w:val="006774FA"/>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640B"/>
    <w:rsid w:val="006C6430"/>
    <w:rsid w:val="006D0258"/>
    <w:rsid w:val="006D4E8D"/>
    <w:rsid w:val="006D5D22"/>
    <w:rsid w:val="006E3887"/>
    <w:rsid w:val="006E6BA2"/>
    <w:rsid w:val="006E73A1"/>
    <w:rsid w:val="006E74F1"/>
    <w:rsid w:val="006F4431"/>
    <w:rsid w:val="006F6E0F"/>
    <w:rsid w:val="007019DC"/>
    <w:rsid w:val="00701F10"/>
    <w:rsid w:val="00702897"/>
    <w:rsid w:val="00717478"/>
    <w:rsid w:val="00721D3E"/>
    <w:rsid w:val="00722C56"/>
    <w:rsid w:val="00727120"/>
    <w:rsid w:val="0072781A"/>
    <w:rsid w:val="00731EBB"/>
    <w:rsid w:val="007320B2"/>
    <w:rsid w:val="00734A63"/>
    <w:rsid w:val="00741184"/>
    <w:rsid w:val="007419EB"/>
    <w:rsid w:val="00743988"/>
    <w:rsid w:val="007440F5"/>
    <w:rsid w:val="0074498C"/>
    <w:rsid w:val="00747158"/>
    <w:rsid w:val="00760140"/>
    <w:rsid w:val="007635F9"/>
    <w:rsid w:val="00763C44"/>
    <w:rsid w:val="00765E89"/>
    <w:rsid w:val="00767711"/>
    <w:rsid w:val="00772E66"/>
    <w:rsid w:val="0077398E"/>
    <w:rsid w:val="00782C76"/>
    <w:rsid w:val="00786044"/>
    <w:rsid w:val="00786F4F"/>
    <w:rsid w:val="00792B95"/>
    <w:rsid w:val="00793A58"/>
    <w:rsid w:val="00793DAF"/>
    <w:rsid w:val="007969C0"/>
    <w:rsid w:val="007A19AF"/>
    <w:rsid w:val="007A1D46"/>
    <w:rsid w:val="007A34C4"/>
    <w:rsid w:val="007A351D"/>
    <w:rsid w:val="007A6627"/>
    <w:rsid w:val="007A6B05"/>
    <w:rsid w:val="007B3BCE"/>
    <w:rsid w:val="007C19AA"/>
    <w:rsid w:val="007C19D7"/>
    <w:rsid w:val="007C1D60"/>
    <w:rsid w:val="007C2808"/>
    <w:rsid w:val="007C312B"/>
    <w:rsid w:val="007C669E"/>
    <w:rsid w:val="007D0005"/>
    <w:rsid w:val="007D25B7"/>
    <w:rsid w:val="007E03E3"/>
    <w:rsid w:val="007E1A3B"/>
    <w:rsid w:val="007E2B11"/>
    <w:rsid w:val="007E33DE"/>
    <w:rsid w:val="007E4C61"/>
    <w:rsid w:val="007E5901"/>
    <w:rsid w:val="007E7D5A"/>
    <w:rsid w:val="007F12CE"/>
    <w:rsid w:val="007F3791"/>
    <w:rsid w:val="007F497A"/>
    <w:rsid w:val="00800E14"/>
    <w:rsid w:val="008019F1"/>
    <w:rsid w:val="008042FD"/>
    <w:rsid w:val="008162AD"/>
    <w:rsid w:val="00817F2A"/>
    <w:rsid w:val="00825050"/>
    <w:rsid w:val="00832245"/>
    <w:rsid w:val="008343D7"/>
    <w:rsid w:val="00841973"/>
    <w:rsid w:val="00843326"/>
    <w:rsid w:val="0084497B"/>
    <w:rsid w:val="00845420"/>
    <w:rsid w:val="00845B49"/>
    <w:rsid w:val="00850985"/>
    <w:rsid w:val="008523FA"/>
    <w:rsid w:val="00855B9F"/>
    <w:rsid w:val="00856ED7"/>
    <w:rsid w:val="00860F3A"/>
    <w:rsid w:val="00862061"/>
    <w:rsid w:val="00865C66"/>
    <w:rsid w:val="00870332"/>
    <w:rsid w:val="00870EF6"/>
    <w:rsid w:val="00872127"/>
    <w:rsid w:val="0087231C"/>
    <w:rsid w:val="008802B6"/>
    <w:rsid w:val="008839CF"/>
    <w:rsid w:val="0088710E"/>
    <w:rsid w:val="00890667"/>
    <w:rsid w:val="00895754"/>
    <w:rsid w:val="008A04B0"/>
    <w:rsid w:val="008A7198"/>
    <w:rsid w:val="008B1379"/>
    <w:rsid w:val="008B271D"/>
    <w:rsid w:val="008B475A"/>
    <w:rsid w:val="008B6D39"/>
    <w:rsid w:val="008C05D0"/>
    <w:rsid w:val="008D740A"/>
    <w:rsid w:val="008E5B16"/>
    <w:rsid w:val="008E7057"/>
    <w:rsid w:val="008F00DE"/>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416AE"/>
    <w:rsid w:val="009422B8"/>
    <w:rsid w:val="009426CD"/>
    <w:rsid w:val="009438A7"/>
    <w:rsid w:val="00946110"/>
    <w:rsid w:val="00947AA3"/>
    <w:rsid w:val="00947BA6"/>
    <w:rsid w:val="00960B1B"/>
    <w:rsid w:val="00961D97"/>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6BCB"/>
    <w:rsid w:val="009A2007"/>
    <w:rsid w:val="009B39B1"/>
    <w:rsid w:val="009B433E"/>
    <w:rsid w:val="009B6BE2"/>
    <w:rsid w:val="009B7116"/>
    <w:rsid w:val="009C162D"/>
    <w:rsid w:val="009C3C6E"/>
    <w:rsid w:val="009C4094"/>
    <w:rsid w:val="009C4524"/>
    <w:rsid w:val="009C6D7B"/>
    <w:rsid w:val="009C7714"/>
    <w:rsid w:val="009D1BF8"/>
    <w:rsid w:val="009D58A2"/>
    <w:rsid w:val="009E0EF0"/>
    <w:rsid w:val="009E1A38"/>
    <w:rsid w:val="009F140E"/>
    <w:rsid w:val="009F333D"/>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5336A"/>
    <w:rsid w:val="00A62018"/>
    <w:rsid w:val="00A624DC"/>
    <w:rsid w:val="00A6435C"/>
    <w:rsid w:val="00A72052"/>
    <w:rsid w:val="00A8339A"/>
    <w:rsid w:val="00A83D2C"/>
    <w:rsid w:val="00A8474C"/>
    <w:rsid w:val="00A84D3A"/>
    <w:rsid w:val="00A9327F"/>
    <w:rsid w:val="00A95C68"/>
    <w:rsid w:val="00A9688F"/>
    <w:rsid w:val="00A96918"/>
    <w:rsid w:val="00A96FFE"/>
    <w:rsid w:val="00AA7BA7"/>
    <w:rsid w:val="00AB6707"/>
    <w:rsid w:val="00AC0E7B"/>
    <w:rsid w:val="00AC2E6D"/>
    <w:rsid w:val="00AC610C"/>
    <w:rsid w:val="00AC66E3"/>
    <w:rsid w:val="00AD12E3"/>
    <w:rsid w:val="00AD6A06"/>
    <w:rsid w:val="00AE0CDC"/>
    <w:rsid w:val="00AE1701"/>
    <w:rsid w:val="00AE359E"/>
    <w:rsid w:val="00AE7F81"/>
    <w:rsid w:val="00AF0E4C"/>
    <w:rsid w:val="00AF3041"/>
    <w:rsid w:val="00AF30DF"/>
    <w:rsid w:val="00B00F10"/>
    <w:rsid w:val="00B01332"/>
    <w:rsid w:val="00B0481C"/>
    <w:rsid w:val="00B07DFC"/>
    <w:rsid w:val="00B10DC7"/>
    <w:rsid w:val="00B11575"/>
    <w:rsid w:val="00B121E1"/>
    <w:rsid w:val="00B1439E"/>
    <w:rsid w:val="00B15AF5"/>
    <w:rsid w:val="00B1674E"/>
    <w:rsid w:val="00B2104D"/>
    <w:rsid w:val="00B226F2"/>
    <w:rsid w:val="00B25CE4"/>
    <w:rsid w:val="00B267C7"/>
    <w:rsid w:val="00B274E9"/>
    <w:rsid w:val="00B30A91"/>
    <w:rsid w:val="00B32BCB"/>
    <w:rsid w:val="00B3697E"/>
    <w:rsid w:val="00B51FE2"/>
    <w:rsid w:val="00B5283C"/>
    <w:rsid w:val="00B52CEA"/>
    <w:rsid w:val="00B665F0"/>
    <w:rsid w:val="00B6674D"/>
    <w:rsid w:val="00B70728"/>
    <w:rsid w:val="00B7291D"/>
    <w:rsid w:val="00B75112"/>
    <w:rsid w:val="00B77CE2"/>
    <w:rsid w:val="00B81103"/>
    <w:rsid w:val="00B82E88"/>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690"/>
    <w:rsid w:val="00BE3E2D"/>
    <w:rsid w:val="00BF0199"/>
    <w:rsid w:val="00BF667F"/>
    <w:rsid w:val="00C00CFC"/>
    <w:rsid w:val="00C06DF8"/>
    <w:rsid w:val="00C12F38"/>
    <w:rsid w:val="00C23C6B"/>
    <w:rsid w:val="00C255CE"/>
    <w:rsid w:val="00C26665"/>
    <w:rsid w:val="00C31534"/>
    <w:rsid w:val="00C424D7"/>
    <w:rsid w:val="00C447AA"/>
    <w:rsid w:val="00C45B46"/>
    <w:rsid w:val="00C47429"/>
    <w:rsid w:val="00C512FC"/>
    <w:rsid w:val="00C52B72"/>
    <w:rsid w:val="00C5559F"/>
    <w:rsid w:val="00C62F9B"/>
    <w:rsid w:val="00C64A56"/>
    <w:rsid w:val="00C65388"/>
    <w:rsid w:val="00C66C7D"/>
    <w:rsid w:val="00C73B86"/>
    <w:rsid w:val="00C74157"/>
    <w:rsid w:val="00C74FA9"/>
    <w:rsid w:val="00C760CD"/>
    <w:rsid w:val="00C76228"/>
    <w:rsid w:val="00C81535"/>
    <w:rsid w:val="00C82D60"/>
    <w:rsid w:val="00C96FA0"/>
    <w:rsid w:val="00CA103B"/>
    <w:rsid w:val="00CA1E91"/>
    <w:rsid w:val="00CA250D"/>
    <w:rsid w:val="00CA4D7C"/>
    <w:rsid w:val="00CA7482"/>
    <w:rsid w:val="00CA7F0F"/>
    <w:rsid w:val="00CB5861"/>
    <w:rsid w:val="00CB5DEA"/>
    <w:rsid w:val="00CC4A28"/>
    <w:rsid w:val="00CD0F80"/>
    <w:rsid w:val="00CD4A33"/>
    <w:rsid w:val="00CE207A"/>
    <w:rsid w:val="00CE253C"/>
    <w:rsid w:val="00CE34FA"/>
    <w:rsid w:val="00CE459B"/>
    <w:rsid w:val="00CE5E50"/>
    <w:rsid w:val="00CF00C7"/>
    <w:rsid w:val="00CF3B47"/>
    <w:rsid w:val="00CF48C2"/>
    <w:rsid w:val="00CF4A91"/>
    <w:rsid w:val="00CF612E"/>
    <w:rsid w:val="00D02291"/>
    <w:rsid w:val="00D04FB9"/>
    <w:rsid w:val="00D06A14"/>
    <w:rsid w:val="00D07FF9"/>
    <w:rsid w:val="00D12075"/>
    <w:rsid w:val="00D144CA"/>
    <w:rsid w:val="00D15A68"/>
    <w:rsid w:val="00D170D1"/>
    <w:rsid w:val="00D2098C"/>
    <w:rsid w:val="00D20FA5"/>
    <w:rsid w:val="00D23363"/>
    <w:rsid w:val="00D23529"/>
    <w:rsid w:val="00D24ABE"/>
    <w:rsid w:val="00D33EE5"/>
    <w:rsid w:val="00D33F86"/>
    <w:rsid w:val="00D3404A"/>
    <w:rsid w:val="00D37D00"/>
    <w:rsid w:val="00D40796"/>
    <w:rsid w:val="00D40D50"/>
    <w:rsid w:val="00D417E1"/>
    <w:rsid w:val="00D430DF"/>
    <w:rsid w:val="00D44DD9"/>
    <w:rsid w:val="00D45F1E"/>
    <w:rsid w:val="00D46CBA"/>
    <w:rsid w:val="00D50D3C"/>
    <w:rsid w:val="00D54079"/>
    <w:rsid w:val="00D549E0"/>
    <w:rsid w:val="00D557E5"/>
    <w:rsid w:val="00D60A2F"/>
    <w:rsid w:val="00D61219"/>
    <w:rsid w:val="00D65397"/>
    <w:rsid w:val="00D6655E"/>
    <w:rsid w:val="00D67092"/>
    <w:rsid w:val="00D677E7"/>
    <w:rsid w:val="00D70381"/>
    <w:rsid w:val="00D70616"/>
    <w:rsid w:val="00D71DD8"/>
    <w:rsid w:val="00D74366"/>
    <w:rsid w:val="00D83636"/>
    <w:rsid w:val="00D84073"/>
    <w:rsid w:val="00D840C3"/>
    <w:rsid w:val="00D8664C"/>
    <w:rsid w:val="00D91BBD"/>
    <w:rsid w:val="00D93BDB"/>
    <w:rsid w:val="00D93C06"/>
    <w:rsid w:val="00DA035E"/>
    <w:rsid w:val="00DA2A7E"/>
    <w:rsid w:val="00DA5CEF"/>
    <w:rsid w:val="00DA7836"/>
    <w:rsid w:val="00DB0B67"/>
    <w:rsid w:val="00DB107B"/>
    <w:rsid w:val="00DB6FE4"/>
    <w:rsid w:val="00DB7CC5"/>
    <w:rsid w:val="00DC1095"/>
    <w:rsid w:val="00DC1455"/>
    <w:rsid w:val="00DC2219"/>
    <w:rsid w:val="00DC7EF8"/>
    <w:rsid w:val="00DD1B7E"/>
    <w:rsid w:val="00DD2A26"/>
    <w:rsid w:val="00DD529E"/>
    <w:rsid w:val="00DD6B7F"/>
    <w:rsid w:val="00DD7FE9"/>
    <w:rsid w:val="00DF069E"/>
    <w:rsid w:val="00DF2C68"/>
    <w:rsid w:val="00E00F46"/>
    <w:rsid w:val="00E056CD"/>
    <w:rsid w:val="00E058E4"/>
    <w:rsid w:val="00E10E58"/>
    <w:rsid w:val="00E116DF"/>
    <w:rsid w:val="00E123C5"/>
    <w:rsid w:val="00E14E5D"/>
    <w:rsid w:val="00E15970"/>
    <w:rsid w:val="00E32759"/>
    <w:rsid w:val="00E40DAC"/>
    <w:rsid w:val="00E42755"/>
    <w:rsid w:val="00E42BF7"/>
    <w:rsid w:val="00E51257"/>
    <w:rsid w:val="00E54A89"/>
    <w:rsid w:val="00E614F2"/>
    <w:rsid w:val="00E6697D"/>
    <w:rsid w:val="00E66B9E"/>
    <w:rsid w:val="00E71175"/>
    <w:rsid w:val="00E73FED"/>
    <w:rsid w:val="00E75290"/>
    <w:rsid w:val="00E803DC"/>
    <w:rsid w:val="00E9115F"/>
    <w:rsid w:val="00E913E2"/>
    <w:rsid w:val="00E932ED"/>
    <w:rsid w:val="00E965BD"/>
    <w:rsid w:val="00EA0389"/>
    <w:rsid w:val="00EA117C"/>
    <w:rsid w:val="00EA481E"/>
    <w:rsid w:val="00EA76F3"/>
    <w:rsid w:val="00EA7AE7"/>
    <w:rsid w:val="00EB27C2"/>
    <w:rsid w:val="00EB32D4"/>
    <w:rsid w:val="00EB47E7"/>
    <w:rsid w:val="00EB53BE"/>
    <w:rsid w:val="00EB592E"/>
    <w:rsid w:val="00EB5DEB"/>
    <w:rsid w:val="00EB602F"/>
    <w:rsid w:val="00EB7936"/>
    <w:rsid w:val="00EC0F42"/>
    <w:rsid w:val="00EC4C56"/>
    <w:rsid w:val="00EC65E3"/>
    <w:rsid w:val="00ED148D"/>
    <w:rsid w:val="00ED2338"/>
    <w:rsid w:val="00ED4B6B"/>
    <w:rsid w:val="00ED5F41"/>
    <w:rsid w:val="00EE229B"/>
    <w:rsid w:val="00EE7B55"/>
    <w:rsid w:val="00EF1B04"/>
    <w:rsid w:val="00EF3860"/>
    <w:rsid w:val="00EF42E4"/>
    <w:rsid w:val="00EF669D"/>
    <w:rsid w:val="00F01483"/>
    <w:rsid w:val="00F064C2"/>
    <w:rsid w:val="00F14190"/>
    <w:rsid w:val="00F144D9"/>
    <w:rsid w:val="00F2402F"/>
    <w:rsid w:val="00F30A15"/>
    <w:rsid w:val="00F3117E"/>
    <w:rsid w:val="00F338AF"/>
    <w:rsid w:val="00F34A5F"/>
    <w:rsid w:val="00F357CB"/>
    <w:rsid w:val="00F361D2"/>
    <w:rsid w:val="00F43004"/>
    <w:rsid w:val="00F46966"/>
    <w:rsid w:val="00F50A25"/>
    <w:rsid w:val="00F50D86"/>
    <w:rsid w:val="00F513B5"/>
    <w:rsid w:val="00F53CB8"/>
    <w:rsid w:val="00F53EA7"/>
    <w:rsid w:val="00F550A0"/>
    <w:rsid w:val="00F56E96"/>
    <w:rsid w:val="00F606E4"/>
    <w:rsid w:val="00F60E02"/>
    <w:rsid w:val="00F63FD9"/>
    <w:rsid w:val="00F64D09"/>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6E23"/>
    <w:rsid w:val="00FB7FAE"/>
    <w:rsid w:val="00FC0003"/>
    <w:rsid w:val="00FC02D8"/>
    <w:rsid w:val="00FD0CAD"/>
    <w:rsid w:val="00FE2BEE"/>
    <w:rsid w:val="00FE3DA4"/>
    <w:rsid w:val="00FE78B4"/>
    <w:rsid w:val="00FF068A"/>
    <w:rsid w:val="00FF2C17"/>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4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iPriority w:val="99"/>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AFEF4-3AA0-4A7D-B464-34EB43AAA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1523</Words>
  <Characters>8379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9883</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2016-03-23T09:20:00Z</cp:lastPrinted>
  <dcterms:created xsi:type="dcterms:W3CDTF">2016-03-29T07:29:00Z</dcterms:created>
  <dcterms:modified xsi:type="dcterms:W3CDTF">2016-03-29T07:31:00Z</dcterms:modified>
</cp:coreProperties>
</file>