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D50" w:rsidRPr="00D40D50" w:rsidRDefault="00D40D50" w:rsidP="00D40D50">
      <w:pPr>
        <w:spacing w:before="100" w:beforeAutospacing="1" w:after="100" w:afterAutospacing="1" w:line="360" w:lineRule="auto"/>
        <w:jc w:val="both"/>
        <w:outlineLvl w:val="0"/>
        <w:rPr>
          <w:rFonts w:ascii="Arial" w:hAnsi="Arial" w:cs="Arial"/>
          <w:bCs/>
          <w:kern w:val="36"/>
        </w:rPr>
      </w:pPr>
      <w:r w:rsidRPr="006B6FB5">
        <w:rPr>
          <w:rFonts w:ascii="Arial" w:hAnsi="Arial" w:cs="Arial"/>
          <w:bCs/>
          <w:kern w:val="36"/>
        </w:rPr>
        <w:t>El perjudicado por una infracción a su derecho de propiedad intelectual puede reclamar también indemnización por el daño moral sufrido.</w:t>
      </w:r>
      <w:r>
        <w:rPr>
          <w:rFonts w:ascii="Arial" w:hAnsi="Arial" w:cs="Arial"/>
          <w:bCs/>
          <w:kern w:val="36"/>
        </w:rPr>
        <w:t xml:space="preserve"> </w:t>
      </w:r>
      <w:r w:rsidRPr="006B6FB5">
        <w:rPr>
          <w:rFonts w:ascii="Arial" w:hAnsi="Arial" w:cs="Arial"/>
        </w:rPr>
        <w:t xml:space="preserve">El </w:t>
      </w:r>
      <w:proofErr w:type="spellStart"/>
      <w:r w:rsidRPr="006B6FB5">
        <w:rPr>
          <w:rFonts w:ascii="Arial" w:hAnsi="Arial" w:cs="Arial"/>
        </w:rPr>
        <w:t>TJUE</w:t>
      </w:r>
      <w:proofErr w:type="spellEnd"/>
      <w:r w:rsidRPr="006B6FB5">
        <w:rPr>
          <w:rFonts w:ascii="Arial" w:hAnsi="Arial" w:cs="Arial"/>
        </w:rPr>
        <w:t xml:space="preserve"> ha dictado una </w:t>
      </w:r>
      <w:r w:rsidRPr="006B6FB5">
        <w:rPr>
          <w:rFonts w:ascii="Arial" w:hAnsi="Arial" w:cs="Arial"/>
          <w:bCs/>
        </w:rPr>
        <w:t xml:space="preserve">sentencia de fecha 17 de marzo de 2016 (asunto C-99/15 </w:t>
      </w:r>
      <w:proofErr w:type="spellStart"/>
      <w:r w:rsidRPr="006B6FB5">
        <w:rPr>
          <w:rFonts w:ascii="Arial" w:hAnsi="Arial" w:cs="Arial"/>
          <w:bCs/>
        </w:rPr>
        <w:t>Liffers</w:t>
      </w:r>
      <w:proofErr w:type="spellEnd"/>
      <w:r w:rsidRPr="006B6FB5">
        <w:rPr>
          <w:rFonts w:ascii="Arial" w:hAnsi="Arial" w:cs="Arial"/>
          <w:bCs/>
        </w:rPr>
        <w:t>)</w:t>
      </w:r>
      <w:r w:rsidRPr="006B6FB5">
        <w:rPr>
          <w:rFonts w:ascii="Arial" w:hAnsi="Arial" w:cs="Arial"/>
        </w:rPr>
        <w:t xml:space="preserve">, por la que establece que la </w:t>
      </w:r>
      <w:hyperlink r:id="rId8" w:history="1">
        <w:r w:rsidRPr="006B6FB5">
          <w:rPr>
            <w:rFonts w:ascii="Arial" w:hAnsi="Arial" w:cs="Arial"/>
            <w:bCs/>
          </w:rPr>
          <w:t>Directiva 2004/48, relativa al respeto de los derechos de propiedad intelectual</w:t>
        </w:r>
      </w:hyperlink>
      <w:r w:rsidRPr="006B6FB5">
        <w:rPr>
          <w:rFonts w:ascii="Arial" w:hAnsi="Arial" w:cs="Arial"/>
        </w:rPr>
        <w:t xml:space="preserve"> permite al perjudicado por una infracción a su derecho de propiedad intelectual reclamar también la indemnización del daño moral sufrido.</w:t>
      </w:r>
    </w:p>
    <w:p w:rsidR="00D40D50" w:rsidRPr="006B6FB5" w:rsidRDefault="00D40D50" w:rsidP="00D40D50">
      <w:pPr>
        <w:spacing w:before="100" w:beforeAutospacing="1" w:after="100" w:afterAutospacing="1" w:line="360" w:lineRule="auto"/>
        <w:jc w:val="both"/>
        <w:rPr>
          <w:rFonts w:ascii="Arial" w:hAnsi="Arial" w:cs="Arial"/>
        </w:rPr>
      </w:pPr>
      <w:r w:rsidRPr="006B6FB5">
        <w:rPr>
          <w:rFonts w:ascii="Arial" w:hAnsi="Arial" w:cs="Arial"/>
        </w:rPr>
        <w:t xml:space="preserve">El demandante en el litigio principal, ciudadano alemán, es director, guionista y productor de una obra audiovisual que obtuvo varios galardones en diversos festivales de cine. Algunos pasajes de esta obra fueron reproducidos sin su autorización en un documental realizado por una de las  empresas </w:t>
      </w:r>
      <w:proofErr w:type="spellStart"/>
      <w:r w:rsidRPr="006B6FB5">
        <w:rPr>
          <w:rFonts w:ascii="Arial" w:hAnsi="Arial" w:cs="Arial"/>
        </w:rPr>
        <w:t>codemanadas</w:t>
      </w:r>
      <w:proofErr w:type="spellEnd"/>
      <w:r w:rsidRPr="006B6FB5">
        <w:rPr>
          <w:rFonts w:ascii="Arial" w:hAnsi="Arial" w:cs="Arial"/>
        </w:rPr>
        <w:t>, en el que se reflejaban actividades delictivas grabadas mediante cámara oculta. El documental fue emitido por un canal televisivo, del que es titular la otra empresa demanda.</w:t>
      </w:r>
    </w:p>
    <w:p w:rsidR="00D40D50" w:rsidRPr="006B6FB5" w:rsidRDefault="00D40D50" w:rsidP="00D40D50">
      <w:pPr>
        <w:spacing w:before="100" w:beforeAutospacing="1" w:after="100" w:afterAutospacing="1" w:line="360" w:lineRule="auto"/>
        <w:jc w:val="both"/>
        <w:rPr>
          <w:rFonts w:ascii="Arial" w:hAnsi="Arial" w:cs="Arial"/>
        </w:rPr>
      </w:pPr>
      <w:r w:rsidRPr="006B6FB5">
        <w:rPr>
          <w:rFonts w:ascii="Arial" w:hAnsi="Arial" w:cs="Arial"/>
        </w:rPr>
        <w:t>El actor demandó a ambas por haber vulnerado sus derechos de propiedad intelectual sobre una obra audiovisual y pidió que se le abonara una indemnización de 6.740 euros por la infracción de los derechos de explotación y de 10.000 euros por el daño moral.</w:t>
      </w:r>
    </w:p>
    <w:p w:rsidR="00D40D50" w:rsidRPr="006B6FB5" w:rsidRDefault="00D40D50" w:rsidP="00D40D50">
      <w:pPr>
        <w:spacing w:before="100" w:beforeAutospacing="1" w:after="100" w:afterAutospacing="1" w:line="360" w:lineRule="auto"/>
        <w:jc w:val="both"/>
        <w:rPr>
          <w:rFonts w:ascii="Arial" w:hAnsi="Arial" w:cs="Arial"/>
        </w:rPr>
      </w:pPr>
      <w:r w:rsidRPr="006B6FB5">
        <w:rPr>
          <w:rFonts w:ascii="Arial" w:hAnsi="Arial" w:cs="Arial"/>
        </w:rPr>
        <w:t xml:space="preserve">Para calcular el importe de la indemnización, el Sr. </w:t>
      </w:r>
      <w:proofErr w:type="spellStart"/>
      <w:r w:rsidRPr="006B6FB5">
        <w:rPr>
          <w:rFonts w:ascii="Arial" w:hAnsi="Arial" w:cs="Arial"/>
        </w:rPr>
        <w:t>Liffers</w:t>
      </w:r>
      <w:proofErr w:type="spellEnd"/>
      <w:r w:rsidRPr="006B6FB5">
        <w:rPr>
          <w:rFonts w:ascii="Arial" w:hAnsi="Arial" w:cs="Arial"/>
        </w:rPr>
        <w:t xml:space="preserve"> utilizó el criterio de la licencia o regalía hipotética (es decir, el importe de los cánones o derechos que se le adeudarían si Mandarina y </w:t>
      </w:r>
      <w:proofErr w:type="spellStart"/>
      <w:r w:rsidRPr="006B6FB5">
        <w:rPr>
          <w:rFonts w:ascii="Arial" w:hAnsi="Arial" w:cs="Arial"/>
        </w:rPr>
        <w:t>Mediaset</w:t>
      </w:r>
      <w:proofErr w:type="spellEnd"/>
      <w:r w:rsidRPr="006B6FB5">
        <w:rPr>
          <w:rFonts w:ascii="Arial" w:hAnsi="Arial" w:cs="Arial"/>
        </w:rPr>
        <w:t xml:space="preserve"> le hubieran pedido autorización para utilizar el derecho de propiedad intelectual vulnerado), establecido en el </w:t>
      </w:r>
      <w:hyperlink r:id="rId9" w:anchor="a140" w:tgtFrame="_blank" w:history="1">
        <w:r w:rsidRPr="006B6FB5">
          <w:rPr>
            <w:rFonts w:ascii="Arial" w:hAnsi="Arial" w:cs="Arial"/>
            <w:bCs/>
          </w:rPr>
          <w:t>texto refundido de la Ley de Propiedad Intelectual española</w:t>
        </w:r>
      </w:hyperlink>
      <w:r w:rsidRPr="006B6FB5">
        <w:rPr>
          <w:rFonts w:ascii="Arial" w:hAnsi="Arial" w:cs="Arial"/>
        </w:rPr>
        <w:t>. Para ello utilizó las tarifas de «</w:t>
      </w:r>
      <w:proofErr w:type="spellStart"/>
      <w:r w:rsidRPr="006B6FB5">
        <w:rPr>
          <w:rFonts w:ascii="Arial" w:hAnsi="Arial" w:cs="Arial"/>
        </w:rPr>
        <w:t>Egeda</w:t>
      </w:r>
      <w:proofErr w:type="spellEnd"/>
      <w:r w:rsidRPr="006B6FB5">
        <w:rPr>
          <w:rFonts w:ascii="Arial" w:hAnsi="Arial" w:cs="Arial"/>
        </w:rPr>
        <w:t>» (Entidad de Gestión de los Derechos de los Productores Audiovisuales). La indemnización por el daño moral se calculó a tanto alzado.</w:t>
      </w:r>
    </w:p>
    <w:p w:rsidR="00D40D50" w:rsidRPr="006B6FB5" w:rsidRDefault="00D40D50" w:rsidP="00D40D50">
      <w:pPr>
        <w:spacing w:before="100" w:beforeAutospacing="1" w:after="100" w:afterAutospacing="1" w:line="360" w:lineRule="auto"/>
        <w:jc w:val="both"/>
        <w:rPr>
          <w:rFonts w:ascii="Arial" w:hAnsi="Arial" w:cs="Arial"/>
        </w:rPr>
      </w:pPr>
      <w:r w:rsidRPr="006B6FB5">
        <w:rPr>
          <w:rFonts w:ascii="Arial" w:hAnsi="Arial" w:cs="Arial"/>
        </w:rPr>
        <w:t>El Juzgado de lo Mercantil nº 6 de Madrid estimó parcialmente la demanda, condenando a las demandadas al pago de 3.370 euros por el daño material causado por esta infracción y 10.000 euros por el daño moral sufrido.</w:t>
      </w:r>
    </w:p>
    <w:p w:rsidR="00D40D50" w:rsidRPr="006B6FB5" w:rsidRDefault="00D40D50" w:rsidP="00D40D50">
      <w:pPr>
        <w:spacing w:before="100" w:beforeAutospacing="1" w:after="100" w:afterAutospacing="1" w:line="360" w:lineRule="auto"/>
        <w:jc w:val="both"/>
        <w:rPr>
          <w:rFonts w:ascii="Arial" w:hAnsi="Arial" w:cs="Arial"/>
        </w:rPr>
      </w:pPr>
      <w:r w:rsidRPr="006B6FB5">
        <w:rPr>
          <w:rFonts w:ascii="Arial" w:hAnsi="Arial" w:cs="Arial"/>
        </w:rPr>
        <w:lastRenderedPageBreak/>
        <w:t>La Audiencia Provincial de Madrid redujo el importe de la indemnización adeudada en concepto de licencia hipotética y anuló en su totalidad la condena por daño moral, alegando que el criterio de indemnización basado en la licencia hipotética constituye una alternativa a otro criterio, también establecido en la Ley de Propiedad Intelectual española, que permite la indemnización del daño moral, por lo que consideró que no estaba permitido combinar ambos criterios.</w:t>
      </w:r>
    </w:p>
    <w:p w:rsidR="00D40D50" w:rsidRPr="006B6FB5" w:rsidRDefault="00D40D50" w:rsidP="00D40D50">
      <w:pPr>
        <w:spacing w:before="100" w:beforeAutospacing="1" w:after="100" w:afterAutospacing="1" w:line="360" w:lineRule="auto"/>
        <w:jc w:val="both"/>
        <w:rPr>
          <w:rFonts w:ascii="Arial" w:hAnsi="Arial" w:cs="Arial"/>
        </w:rPr>
      </w:pPr>
      <w:r w:rsidRPr="006B6FB5">
        <w:rPr>
          <w:rFonts w:ascii="Arial" w:hAnsi="Arial" w:cs="Arial"/>
        </w:rPr>
        <w:t>Interpuesto recurso de casación contra esta sentencia por el actor, este alega que la indemnización del daño moral y es independiente de la elección entre los criterios de indemnización del daño patrimonial establecidos en la Ley de Propiedad Intelectual.</w:t>
      </w:r>
    </w:p>
    <w:p w:rsidR="00D40D50" w:rsidRPr="006B6FB5" w:rsidRDefault="00D40D50" w:rsidP="00D40D50">
      <w:pPr>
        <w:spacing w:before="100" w:beforeAutospacing="1" w:after="100" w:afterAutospacing="1" w:line="360" w:lineRule="auto"/>
        <w:jc w:val="both"/>
        <w:rPr>
          <w:rFonts w:ascii="Arial" w:hAnsi="Arial" w:cs="Arial"/>
        </w:rPr>
      </w:pPr>
      <w:r w:rsidRPr="006B6FB5">
        <w:rPr>
          <w:rFonts w:ascii="Arial" w:hAnsi="Arial" w:cs="Arial"/>
        </w:rPr>
        <w:t>El Tribunal Supremo alberga dudas respecto de la interpretación que ha de darse a la ley española, destinada a transponer en Derecho español la Directiva 2004/48, relativa al respeto de los derechos de propiedad intelectual. El Tribunal Supremo pregunta al Tribunal de Justicia si la Directiva puede interpretarse en el sentido de que el perjudicado por una violación de su derecho de propiedad intelectual que reclame la indemnización del daño patrimonial, calculada sobre la base del importe de los cánones o derechos que se le adeudarían si el infractor hubiera pedido autorización para utilizar el derecho de propiedad intelectual en cuestión, puede solicitar además la indemnización del daño moral causado.</w:t>
      </w:r>
    </w:p>
    <w:p w:rsidR="00D40D50" w:rsidRPr="006B6FB5" w:rsidRDefault="00D40D50" w:rsidP="00D40D50">
      <w:pPr>
        <w:spacing w:before="100" w:beforeAutospacing="1" w:after="100" w:afterAutospacing="1" w:line="360" w:lineRule="auto"/>
        <w:jc w:val="both"/>
        <w:outlineLvl w:val="1"/>
        <w:rPr>
          <w:rFonts w:ascii="Arial" w:hAnsi="Arial" w:cs="Arial"/>
          <w:bCs/>
        </w:rPr>
      </w:pPr>
      <w:r w:rsidRPr="006B6FB5">
        <w:rPr>
          <w:rFonts w:ascii="Arial" w:hAnsi="Arial" w:cs="Arial"/>
          <w:bCs/>
        </w:rPr>
        <w:t xml:space="preserve"> </w:t>
      </w:r>
    </w:p>
    <w:p w:rsidR="00D40D50" w:rsidRPr="006B6FB5" w:rsidRDefault="00D40D50" w:rsidP="00D40D50">
      <w:pPr>
        <w:spacing w:before="100" w:beforeAutospacing="1" w:after="100" w:afterAutospacing="1" w:line="360" w:lineRule="auto"/>
        <w:jc w:val="both"/>
        <w:rPr>
          <w:rFonts w:ascii="Arial" w:hAnsi="Arial" w:cs="Arial"/>
        </w:rPr>
      </w:pPr>
      <w:r w:rsidRPr="006B6FB5">
        <w:rPr>
          <w:rFonts w:ascii="Arial" w:hAnsi="Arial" w:cs="Arial"/>
        </w:rPr>
        <w:t>En su sentencia </w:t>
      </w:r>
      <w:r w:rsidRPr="006B6FB5">
        <w:rPr>
          <w:rFonts w:ascii="Arial" w:hAnsi="Arial" w:cs="Arial"/>
          <w:bCs/>
        </w:rPr>
        <w:t>el Tribunal de Justicia</w:t>
      </w:r>
      <w:r w:rsidRPr="006B6FB5">
        <w:rPr>
          <w:rFonts w:ascii="Arial" w:hAnsi="Arial" w:cs="Arial"/>
        </w:rPr>
        <w:t xml:space="preserve">, siguiendo las conclusiones presentadas por el Abogado General </w:t>
      </w:r>
      <w:proofErr w:type="spellStart"/>
      <w:r w:rsidRPr="006B6FB5">
        <w:rPr>
          <w:rFonts w:ascii="Arial" w:hAnsi="Arial" w:cs="Arial"/>
        </w:rPr>
        <w:t>Wathelet</w:t>
      </w:r>
      <w:proofErr w:type="spellEnd"/>
      <w:r w:rsidRPr="006B6FB5">
        <w:rPr>
          <w:rFonts w:ascii="Arial" w:hAnsi="Arial" w:cs="Arial"/>
        </w:rPr>
        <w:t xml:space="preserve">, </w:t>
      </w:r>
      <w:r w:rsidRPr="006B6FB5">
        <w:rPr>
          <w:rFonts w:ascii="Arial" w:hAnsi="Arial" w:cs="Arial"/>
          <w:bCs/>
        </w:rPr>
        <w:t>declara que la Directiva  2004/48 permite al perjudicado reclamar también la indemnización del daño moral sufrido.</w:t>
      </w:r>
    </w:p>
    <w:p w:rsidR="00D40D50" w:rsidRPr="006B6FB5" w:rsidRDefault="00D40D50" w:rsidP="00D40D50">
      <w:pPr>
        <w:spacing w:before="100" w:beforeAutospacing="1" w:after="100" w:afterAutospacing="1" w:line="360" w:lineRule="auto"/>
        <w:jc w:val="both"/>
        <w:rPr>
          <w:rFonts w:ascii="Arial" w:hAnsi="Arial" w:cs="Arial"/>
        </w:rPr>
      </w:pPr>
      <w:r w:rsidRPr="006B6FB5">
        <w:rPr>
          <w:rFonts w:ascii="Arial" w:hAnsi="Arial" w:cs="Arial"/>
        </w:rPr>
        <w:t xml:space="preserve">El Tribunal de Justicia destaca que </w:t>
      </w:r>
      <w:r w:rsidRPr="006B6FB5">
        <w:rPr>
          <w:rFonts w:ascii="Arial" w:hAnsi="Arial" w:cs="Arial"/>
          <w:bCs/>
        </w:rPr>
        <w:t>el hecho de que la Directiva no incluya el daño moral</w:t>
      </w:r>
      <w:r w:rsidRPr="006B6FB5">
        <w:rPr>
          <w:rFonts w:ascii="Arial" w:hAnsi="Arial" w:cs="Arial"/>
        </w:rPr>
        <w:t xml:space="preserve"> como elemento que las autoridades judiciales han de tener en </w:t>
      </w:r>
      <w:r w:rsidRPr="006B6FB5">
        <w:rPr>
          <w:rFonts w:ascii="Arial" w:hAnsi="Arial" w:cs="Arial"/>
        </w:rPr>
        <w:lastRenderedPageBreak/>
        <w:t xml:space="preserve">cuenta cuando fijan la indemnización por daños y perjuicios que ha de abonarse al titular del derecho, </w:t>
      </w:r>
      <w:r w:rsidRPr="006B6FB5">
        <w:rPr>
          <w:rFonts w:ascii="Arial" w:hAnsi="Arial" w:cs="Arial"/>
          <w:bCs/>
        </w:rPr>
        <w:t>no excluye que se tenga en cuenta este tipo de daño</w:t>
      </w:r>
      <w:r w:rsidRPr="006B6FB5">
        <w:rPr>
          <w:rFonts w:ascii="Arial" w:hAnsi="Arial" w:cs="Arial"/>
        </w:rPr>
        <w:t xml:space="preserve">. Al contemplar la posibilidad de fijar un importe a tanto alzado de la indemnización por daños y perjuicios que se base al menos en los elementos que menciona, </w:t>
      </w:r>
      <w:r w:rsidRPr="006B6FB5">
        <w:rPr>
          <w:rFonts w:ascii="Arial" w:hAnsi="Arial" w:cs="Arial"/>
          <w:bCs/>
        </w:rPr>
        <w:t>la Directiva permite incluir en dicho importe otros elementos, como la indemnización del daño moral.</w:t>
      </w:r>
    </w:p>
    <w:p w:rsidR="00D40D50" w:rsidRPr="006B6FB5" w:rsidRDefault="00D40D50" w:rsidP="00D40D50">
      <w:pPr>
        <w:spacing w:before="100" w:beforeAutospacing="1" w:after="100" w:afterAutospacing="1" w:line="360" w:lineRule="auto"/>
        <w:jc w:val="both"/>
        <w:rPr>
          <w:rFonts w:ascii="Arial" w:hAnsi="Arial" w:cs="Arial"/>
        </w:rPr>
      </w:pPr>
      <w:r w:rsidRPr="006B6FB5">
        <w:rPr>
          <w:rFonts w:ascii="Arial" w:hAnsi="Arial" w:cs="Arial"/>
        </w:rPr>
        <w:t xml:space="preserve">Lo mismo se deduce de un análisis sistemático de la Directiva. Ésta dispone que la indemnización </w:t>
      </w:r>
      <w:proofErr w:type="gramStart"/>
      <w:r w:rsidRPr="006B6FB5">
        <w:rPr>
          <w:rFonts w:ascii="Arial" w:hAnsi="Arial" w:cs="Arial"/>
        </w:rPr>
        <w:t>debe</w:t>
      </w:r>
      <w:proofErr w:type="gramEnd"/>
      <w:r w:rsidRPr="006B6FB5">
        <w:rPr>
          <w:rFonts w:ascii="Arial" w:hAnsi="Arial" w:cs="Arial"/>
        </w:rPr>
        <w:t xml:space="preserve"> ser adecuada a los daños y perjuicios efectivamente sufridos por el autor como consecuencia de la violación de su derecho de propiedad intelectual. El Tribunal de Justicia expone que </w:t>
      </w:r>
      <w:r w:rsidRPr="006B6FB5">
        <w:rPr>
          <w:rFonts w:ascii="Arial" w:hAnsi="Arial" w:cs="Arial"/>
          <w:bCs/>
        </w:rPr>
        <w:t>un daño moral</w:t>
      </w:r>
      <w:r w:rsidRPr="006B6FB5">
        <w:rPr>
          <w:rFonts w:ascii="Arial" w:hAnsi="Arial" w:cs="Arial"/>
        </w:rPr>
        <w:t xml:space="preserve"> –como el menoscabo de la reputación del autor de una obra–, siempre que se haya demostrado, </w:t>
      </w:r>
      <w:r w:rsidRPr="006B6FB5">
        <w:rPr>
          <w:rFonts w:ascii="Arial" w:hAnsi="Arial" w:cs="Arial"/>
          <w:bCs/>
        </w:rPr>
        <w:t>constituye un componente del daño efectivo</w:t>
      </w:r>
      <w:r w:rsidRPr="006B6FB5">
        <w:rPr>
          <w:rFonts w:ascii="Arial" w:hAnsi="Arial" w:cs="Arial"/>
        </w:rPr>
        <w:t xml:space="preserve"> que éste ha sufrido.</w:t>
      </w:r>
    </w:p>
    <w:p w:rsidR="00D40D50" w:rsidRPr="006B6FB5" w:rsidRDefault="00D40D50" w:rsidP="00D40D50">
      <w:pPr>
        <w:spacing w:before="100" w:beforeAutospacing="1" w:after="100" w:afterAutospacing="1" w:line="360" w:lineRule="auto"/>
        <w:jc w:val="both"/>
        <w:rPr>
          <w:rFonts w:ascii="Arial" w:hAnsi="Arial" w:cs="Arial"/>
        </w:rPr>
      </w:pPr>
      <w:r w:rsidRPr="006B6FB5">
        <w:rPr>
          <w:rFonts w:ascii="Arial" w:hAnsi="Arial" w:cs="Arial"/>
        </w:rPr>
        <w:t xml:space="preserve">El Tribunal de Justicia señala, por otro lado, que la aplicación por parte de las autoridades judiciales competentes del método de cálculo </w:t>
      </w:r>
      <w:proofErr w:type="gramStart"/>
      <w:r w:rsidRPr="006B6FB5">
        <w:rPr>
          <w:rFonts w:ascii="Arial" w:hAnsi="Arial" w:cs="Arial"/>
        </w:rPr>
        <w:t>a</w:t>
      </w:r>
      <w:proofErr w:type="gramEnd"/>
      <w:r w:rsidRPr="006B6FB5">
        <w:rPr>
          <w:rFonts w:ascii="Arial" w:hAnsi="Arial" w:cs="Arial"/>
        </w:rPr>
        <w:t xml:space="preserve"> tanto alzado se admite como alternativa única y exclusivamente cuando, por ejemplo, sea difícil determinar el importe del perjuicio realmente sufrido. En esos casos el importe de la indemnización puede calcularse a partir de elementos como los cánones o derechos normalmente adeudados por el uso del derecho de propiedad intelectual, lo que no tiene en cuenta los posibles daños morales.</w:t>
      </w:r>
    </w:p>
    <w:p w:rsidR="00D40D50" w:rsidRPr="006B6FB5" w:rsidRDefault="00D40D50" w:rsidP="00D40D50">
      <w:pPr>
        <w:spacing w:before="100" w:beforeAutospacing="1" w:after="100" w:afterAutospacing="1" w:line="360" w:lineRule="auto"/>
        <w:jc w:val="both"/>
        <w:rPr>
          <w:rFonts w:ascii="Arial" w:hAnsi="Arial" w:cs="Arial"/>
        </w:rPr>
      </w:pPr>
      <w:r w:rsidRPr="006B6FB5">
        <w:rPr>
          <w:rFonts w:ascii="Arial" w:hAnsi="Arial" w:cs="Arial"/>
        </w:rPr>
        <w:t xml:space="preserve">Además, y por último, una determinación a tanto alzado del importe de la indemnización por daños y perjuicios adeudada que se base únicamente en las licencias hipotéticas sólo cubre el daño material sufrido por el titular del derecho de propiedad intelectual, de modo que, </w:t>
      </w:r>
      <w:r w:rsidRPr="006B6FB5">
        <w:rPr>
          <w:rFonts w:ascii="Arial" w:hAnsi="Arial" w:cs="Arial"/>
          <w:bCs/>
        </w:rPr>
        <w:t>para permitir la reparación íntegra, el titular debe poder solicitar además la indemnización del daño moral que haya sufrido.</w:t>
      </w:r>
    </w:p>
    <w:p w:rsidR="00D40D50" w:rsidRPr="006B6FB5" w:rsidRDefault="00D40D50" w:rsidP="00D40D50">
      <w:pPr>
        <w:spacing w:line="360" w:lineRule="auto"/>
        <w:jc w:val="both"/>
        <w:rPr>
          <w:rFonts w:ascii="Arial" w:hAnsi="Arial" w:cs="Arial"/>
        </w:rPr>
      </w:pPr>
    </w:p>
    <w:p w:rsidR="00E71175" w:rsidRDefault="00E71175" w:rsidP="003D6F6A">
      <w:pPr>
        <w:spacing w:line="360" w:lineRule="auto"/>
        <w:ind w:right="-1"/>
        <w:jc w:val="both"/>
        <w:rPr>
          <w:rFonts w:ascii="Arial" w:hAnsi="Arial" w:cs="Arial"/>
        </w:rPr>
      </w:pPr>
    </w:p>
    <w:p w:rsidR="00E71175" w:rsidRDefault="00E71175" w:rsidP="003D6F6A">
      <w:pPr>
        <w:spacing w:line="360" w:lineRule="auto"/>
        <w:ind w:right="-1"/>
        <w:jc w:val="both"/>
        <w:rPr>
          <w:rFonts w:ascii="Arial" w:hAnsi="Arial" w:cs="Arial"/>
        </w:rPr>
      </w:pPr>
    </w:p>
    <w:p w:rsidR="00767711" w:rsidRDefault="00767711" w:rsidP="003D6F6A">
      <w:pPr>
        <w:spacing w:line="360" w:lineRule="auto"/>
        <w:ind w:right="-1"/>
        <w:jc w:val="both"/>
        <w:rPr>
          <w:rFonts w:ascii="Arial" w:hAnsi="Arial" w:cs="Arial"/>
        </w:rPr>
      </w:pPr>
    </w:p>
    <w:p w:rsidR="001172ED" w:rsidRDefault="001172ED" w:rsidP="003D6F6A">
      <w:pPr>
        <w:spacing w:line="360" w:lineRule="auto"/>
        <w:ind w:right="-1"/>
        <w:jc w:val="both"/>
        <w:rPr>
          <w:rFonts w:ascii="Arial" w:hAnsi="Arial" w:cs="Arial"/>
        </w:rPr>
      </w:pPr>
    </w:p>
    <w:p w:rsidR="00767711" w:rsidRDefault="00767711" w:rsidP="003D6F6A">
      <w:pPr>
        <w:spacing w:line="360" w:lineRule="auto"/>
        <w:ind w:right="-1"/>
        <w:jc w:val="both"/>
        <w:rPr>
          <w:rFonts w:ascii="Arial" w:hAnsi="Arial" w:cs="Arial"/>
        </w:rPr>
      </w:pPr>
    </w:p>
    <w:p w:rsidR="00767711" w:rsidRDefault="00767711" w:rsidP="003D6F6A">
      <w:pPr>
        <w:spacing w:line="360" w:lineRule="auto"/>
        <w:ind w:right="-1"/>
        <w:jc w:val="both"/>
        <w:rPr>
          <w:rFonts w:ascii="Arial" w:hAnsi="Arial" w:cs="Arial"/>
        </w:rPr>
      </w:pPr>
    </w:p>
    <w:p w:rsidR="00767711" w:rsidRDefault="00767711" w:rsidP="003D6F6A">
      <w:pPr>
        <w:spacing w:line="360" w:lineRule="auto"/>
        <w:ind w:right="-1"/>
        <w:jc w:val="both"/>
        <w:rPr>
          <w:rFonts w:ascii="Arial" w:hAnsi="Arial" w:cs="Arial"/>
        </w:rPr>
      </w:pPr>
    </w:p>
    <w:p w:rsidR="00447F11" w:rsidRPr="00C64A56" w:rsidRDefault="00EF42E4" w:rsidP="003D6F6A">
      <w:pPr>
        <w:spacing w:line="360" w:lineRule="auto"/>
        <w:ind w:right="-1"/>
        <w:jc w:val="both"/>
        <w:rPr>
          <w:rFonts w:ascii="Arial" w:hAnsi="Arial" w:cs="Arial"/>
        </w:rPr>
      </w:pPr>
      <w:r w:rsidRPr="00C64A56">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10"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C64A56" w:rsidRDefault="00EF42E4" w:rsidP="003D6F6A">
      <w:pPr>
        <w:spacing w:line="360" w:lineRule="auto"/>
        <w:ind w:right="-1"/>
        <w:jc w:val="both"/>
        <w:rPr>
          <w:rFonts w:ascii="Arial" w:hAnsi="Arial" w:cs="Arial"/>
        </w:rPr>
      </w:pPr>
    </w:p>
    <w:p w:rsidR="00EF42E4" w:rsidRPr="00C64A56" w:rsidRDefault="00EF42E4" w:rsidP="003D6F6A">
      <w:pPr>
        <w:spacing w:line="360" w:lineRule="auto"/>
        <w:ind w:right="-1"/>
        <w:jc w:val="both"/>
        <w:rPr>
          <w:rFonts w:ascii="Arial" w:hAnsi="Arial" w:cs="Arial"/>
        </w:rPr>
      </w:pPr>
    </w:p>
    <w:p w:rsidR="00EF42E4" w:rsidRPr="00C64A56" w:rsidRDefault="00EF42E4" w:rsidP="003D6F6A">
      <w:pPr>
        <w:spacing w:line="360" w:lineRule="auto"/>
        <w:ind w:right="-1"/>
        <w:jc w:val="both"/>
        <w:rPr>
          <w:rFonts w:ascii="Arial" w:hAnsi="Arial" w:cs="Arial"/>
        </w:rPr>
      </w:pPr>
    </w:p>
    <w:p w:rsidR="00EF42E4" w:rsidRPr="00C64A56" w:rsidRDefault="00EF42E4" w:rsidP="003D6F6A">
      <w:pPr>
        <w:spacing w:line="360" w:lineRule="auto"/>
        <w:ind w:right="-1"/>
        <w:jc w:val="both"/>
        <w:rPr>
          <w:rFonts w:ascii="Arial" w:hAnsi="Arial" w:cs="Arial"/>
        </w:rPr>
      </w:pPr>
    </w:p>
    <w:p w:rsidR="00005AFB" w:rsidRPr="00C64A56" w:rsidRDefault="00005AFB" w:rsidP="003D6F6A">
      <w:pPr>
        <w:spacing w:line="360" w:lineRule="auto"/>
        <w:ind w:right="-1"/>
        <w:jc w:val="both"/>
        <w:rPr>
          <w:rFonts w:ascii="Arial" w:hAnsi="Arial" w:cs="Arial"/>
        </w:rPr>
      </w:pPr>
    </w:p>
    <w:p w:rsidR="00005AFB" w:rsidRPr="00C64A56" w:rsidRDefault="00005AFB" w:rsidP="003D6F6A">
      <w:pPr>
        <w:spacing w:line="360" w:lineRule="auto"/>
        <w:ind w:right="-1"/>
        <w:jc w:val="both"/>
        <w:rPr>
          <w:rFonts w:ascii="Arial" w:hAnsi="Arial" w:cs="Arial"/>
        </w:rPr>
      </w:pPr>
    </w:p>
    <w:p w:rsidR="00005AFB" w:rsidRPr="00C64A56" w:rsidRDefault="00005AFB" w:rsidP="003D6F6A">
      <w:pPr>
        <w:spacing w:line="360" w:lineRule="auto"/>
        <w:ind w:right="-1"/>
        <w:jc w:val="both"/>
        <w:rPr>
          <w:rFonts w:ascii="Arial" w:hAnsi="Arial" w:cs="Arial"/>
        </w:rPr>
      </w:pPr>
    </w:p>
    <w:p w:rsidR="00005AFB" w:rsidRPr="00C64A56" w:rsidRDefault="00005AFB" w:rsidP="003D6F6A">
      <w:pPr>
        <w:spacing w:line="360" w:lineRule="auto"/>
        <w:ind w:right="-1"/>
        <w:jc w:val="both"/>
        <w:rPr>
          <w:rFonts w:ascii="Arial" w:hAnsi="Arial" w:cs="Arial"/>
        </w:rPr>
      </w:pPr>
    </w:p>
    <w:p w:rsidR="005B56D9" w:rsidRDefault="005B56D9" w:rsidP="003D6F6A">
      <w:pPr>
        <w:spacing w:line="360" w:lineRule="auto"/>
        <w:ind w:right="-1"/>
        <w:jc w:val="both"/>
        <w:rPr>
          <w:rFonts w:ascii="Arial" w:hAnsi="Arial" w:cs="Arial"/>
        </w:rPr>
      </w:pPr>
    </w:p>
    <w:p w:rsidR="00B5283C" w:rsidRPr="00C64A56" w:rsidRDefault="00B5283C" w:rsidP="003D6F6A">
      <w:pPr>
        <w:spacing w:line="360" w:lineRule="auto"/>
        <w:ind w:right="-1"/>
        <w:jc w:val="both"/>
        <w:rPr>
          <w:rFonts w:ascii="Arial" w:hAnsi="Arial" w:cs="Arial"/>
        </w:rPr>
      </w:pPr>
    </w:p>
    <w:p w:rsidR="00EF42E4" w:rsidRDefault="00EF42E4" w:rsidP="003D6F6A">
      <w:pPr>
        <w:spacing w:line="360" w:lineRule="auto"/>
        <w:ind w:right="-1"/>
        <w:jc w:val="both"/>
        <w:rPr>
          <w:rFonts w:ascii="Arial" w:hAnsi="Arial" w:cs="Arial"/>
        </w:rPr>
      </w:pPr>
    </w:p>
    <w:p w:rsidR="00B5283C" w:rsidRPr="00C64A56" w:rsidRDefault="00B5283C" w:rsidP="003D6F6A">
      <w:pPr>
        <w:spacing w:line="360" w:lineRule="auto"/>
        <w:ind w:right="-1"/>
        <w:jc w:val="both"/>
        <w:rPr>
          <w:rFonts w:ascii="Arial" w:hAnsi="Arial" w:cs="Arial"/>
        </w:rPr>
      </w:pPr>
    </w:p>
    <w:p w:rsidR="00EF42E4" w:rsidRPr="00C64A56" w:rsidRDefault="00EF42E4" w:rsidP="003D6F6A">
      <w:pPr>
        <w:spacing w:line="360" w:lineRule="auto"/>
        <w:ind w:right="-1"/>
        <w:jc w:val="both"/>
        <w:rPr>
          <w:rFonts w:ascii="Arial" w:hAnsi="Arial" w:cs="Arial"/>
        </w:rPr>
      </w:pPr>
    </w:p>
    <w:p w:rsidR="00EF42E4" w:rsidRPr="00C64A56" w:rsidRDefault="00EF42E4" w:rsidP="003D6F6A">
      <w:pPr>
        <w:spacing w:line="360" w:lineRule="auto"/>
        <w:ind w:right="-1"/>
        <w:jc w:val="both"/>
        <w:rPr>
          <w:rFonts w:ascii="Arial" w:hAnsi="Arial" w:cs="Arial"/>
        </w:rPr>
      </w:pPr>
      <w:r w:rsidRPr="00C64A56">
        <w:rPr>
          <w:rFonts w:ascii="Arial" w:hAnsi="Arial" w:cs="Arial"/>
          <w:noProof/>
        </w:rPr>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11"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C64A56" w:rsidRDefault="00EF42E4" w:rsidP="003D6F6A">
      <w:pPr>
        <w:spacing w:line="360" w:lineRule="auto"/>
        <w:ind w:right="-1"/>
        <w:jc w:val="both"/>
        <w:rPr>
          <w:rFonts w:ascii="Arial" w:hAnsi="Arial" w:cs="Arial"/>
        </w:rPr>
      </w:pPr>
    </w:p>
    <w:p w:rsidR="00005AFB" w:rsidRPr="00C64A56" w:rsidRDefault="00005AFB" w:rsidP="003D6F6A">
      <w:pPr>
        <w:spacing w:line="360" w:lineRule="auto"/>
        <w:ind w:right="-1"/>
        <w:jc w:val="both"/>
        <w:rPr>
          <w:rFonts w:ascii="Arial" w:hAnsi="Arial" w:cs="Arial"/>
        </w:rPr>
      </w:pPr>
    </w:p>
    <w:p w:rsidR="00005AFB" w:rsidRPr="00C64A56" w:rsidRDefault="00005AFB" w:rsidP="003D6F6A">
      <w:pPr>
        <w:spacing w:line="360" w:lineRule="auto"/>
        <w:ind w:right="-1"/>
        <w:jc w:val="both"/>
        <w:rPr>
          <w:rFonts w:ascii="Arial" w:hAnsi="Arial" w:cs="Arial"/>
        </w:rPr>
      </w:pPr>
    </w:p>
    <w:p w:rsidR="00005AFB" w:rsidRPr="00C64A56" w:rsidRDefault="00005AFB" w:rsidP="003D6F6A">
      <w:pPr>
        <w:spacing w:line="360" w:lineRule="auto"/>
        <w:ind w:right="-1"/>
        <w:jc w:val="both"/>
        <w:rPr>
          <w:rFonts w:ascii="Arial" w:hAnsi="Arial" w:cs="Arial"/>
        </w:rPr>
      </w:pPr>
    </w:p>
    <w:p w:rsidR="00005AFB" w:rsidRPr="00C64A56" w:rsidRDefault="00005AFB" w:rsidP="003D6F6A">
      <w:pPr>
        <w:spacing w:line="360" w:lineRule="auto"/>
        <w:ind w:right="-1"/>
        <w:jc w:val="both"/>
        <w:rPr>
          <w:rFonts w:ascii="Arial" w:hAnsi="Arial" w:cs="Arial"/>
        </w:rPr>
      </w:pPr>
    </w:p>
    <w:p w:rsidR="00005AFB" w:rsidRPr="00C64A56" w:rsidRDefault="00005AFB" w:rsidP="003D6F6A">
      <w:pPr>
        <w:spacing w:line="360" w:lineRule="auto"/>
        <w:ind w:right="-1"/>
        <w:jc w:val="both"/>
        <w:rPr>
          <w:rFonts w:ascii="Arial" w:hAnsi="Arial" w:cs="Arial"/>
        </w:rPr>
      </w:pPr>
    </w:p>
    <w:p w:rsidR="00005AFB" w:rsidRPr="00C64A56" w:rsidRDefault="00005AFB" w:rsidP="003D6F6A">
      <w:pPr>
        <w:spacing w:line="360" w:lineRule="auto"/>
        <w:ind w:right="-1"/>
        <w:jc w:val="both"/>
        <w:rPr>
          <w:rFonts w:ascii="Arial" w:hAnsi="Arial" w:cs="Arial"/>
        </w:rPr>
      </w:pPr>
    </w:p>
    <w:p w:rsidR="00005AFB" w:rsidRPr="00C64A56" w:rsidRDefault="00005AFB" w:rsidP="003D6F6A">
      <w:pPr>
        <w:spacing w:line="360" w:lineRule="auto"/>
        <w:ind w:right="-1"/>
        <w:jc w:val="both"/>
        <w:rPr>
          <w:rFonts w:ascii="Arial" w:hAnsi="Arial" w:cs="Arial"/>
        </w:rPr>
      </w:pPr>
    </w:p>
    <w:p w:rsidR="00005AFB" w:rsidRPr="00C64A56" w:rsidRDefault="00005AFB" w:rsidP="003D6F6A">
      <w:pPr>
        <w:spacing w:line="360" w:lineRule="auto"/>
        <w:ind w:right="-1"/>
        <w:jc w:val="both"/>
        <w:rPr>
          <w:rFonts w:ascii="Arial" w:hAnsi="Arial" w:cs="Arial"/>
        </w:rPr>
      </w:pPr>
    </w:p>
    <w:p w:rsidR="00005AFB" w:rsidRPr="00C64A56" w:rsidRDefault="00005AFB" w:rsidP="003D6F6A">
      <w:pPr>
        <w:spacing w:line="360" w:lineRule="auto"/>
        <w:ind w:right="-1"/>
        <w:jc w:val="both"/>
        <w:rPr>
          <w:rFonts w:ascii="Arial" w:hAnsi="Arial" w:cs="Arial"/>
        </w:rPr>
      </w:pPr>
    </w:p>
    <w:p w:rsidR="00005AFB" w:rsidRPr="00C64A56" w:rsidRDefault="00005AFB" w:rsidP="003D6F6A">
      <w:pPr>
        <w:spacing w:line="360" w:lineRule="auto"/>
        <w:ind w:right="-1"/>
        <w:jc w:val="both"/>
        <w:rPr>
          <w:rFonts w:ascii="Arial" w:hAnsi="Arial" w:cs="Arial"/>
        </w:rPr>
      </w:pPr>
    </w:p>
    <w:p w:rsidR="00005AFB" w:rsidRPr="00C64A56" w:rsidRDefault="00005AFB" w:rsidP="003D6F6A">
      <w:pPr>
        <w:spacing w:line="360" w:lineRule="auto"/>
        <w:ind w:right="-1"/>
        <w:jc w:val="both"/>
        <w:rPr>
          <w:rFonts w:ascii="Arial" w:hAnsi="Arial" w:cs="Arial"/>
        </w:rPr>
      </w:pPr>
    </w:p>
    <w:p w:rsidR="00005AFB" w:rsidRPr="00C64A56" w:rsidRDefault="00005AFB" w:rsidP="003D6F6A">
      <w:pPr>
        <w:spacing w:line="360" w:lineRule="auto"/>
        <w:ind w:right="-1"/>
        <w:jc w:val="both"/>
        <w:rPr>
          <w:rFonts w:ascii="Arial" w:hAnsi="Arial" w:cs="Arial"/>
        </w:rPr>
      </w:pPr>
    </w:p>
    <w:p w:rsidR="00B956CA" w:rsidRPr="00C64A56" w:rsidRDefault="00EF42E4" w:rsidP="003D6F6A">
      <w:pPr>
        <w:spacing w:line="360" w:lineRule="auto"/>
        <w:ind w:right="-1"/>
        <w:jc w:val="both"/>
        <w:rPr>
          <w:rFonts w:ascii="Arial" w:hAnsi="Arial" w:cs="Arial"/>
        </w:rPr>
      </w:pPr>
      <w:r w:rsidRPr="00C64A56">
        <w:rPr>
          <w:rFonts w:ascii="Arial" w:hAnsi="Arial" w:cs="Arial"/>
          <w:noProof/>
        </w:rPr>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2"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C64A56" w:rsidRDefault="00B956CA" w:rsidP="003D6F6A">
      <w:pPr>
        <w:spacing w:line="360" w:lineRule="auto"/>
        <w:ind w:right="-1"/>
        <w:jc w:val="both"/>
        <w:rPr>
          <w:rFonts w:ascii="Arial" w:hAnsi="Arial" w:cs="Arial"/>
        </w:rPr>
      </w:pPr>
    </w:p>
    <w:p w:rsidR="00B956CA" w:rsidRPr="00C64A56" w:rsidRDefault="00B956CA" w:rsidP="003D6F6A">
      <w:pPr>
        <w:spacing w:line="360" w:lineRule="auto"/>
        <w:ind w:right="-1"/>
        <w:jc w:val="both"/>
        <w:rPr>
          <w:rFonts w:ascii="Arial" w:hAnsi="Arial" w:cs="Arial"/>
        </w:rPr>
      </w:pPr>
    </w:p>
    <w:p w:rsidR="00287D71" w:rsidRPr="00C64A56" w:rsidRDefault="00287D71" w:rsidP="003D6F6A">
      <w:pPr>
        <w:spacing w:line="360" w:lineRule="auto"/>
        <w:ind w:right="-1"/>
        <w:jc w:val="both"/>
        <w:rPr>
          <w:rFonts w:ascii="Arial" w:hAnsi="Arial" w:cs="Arial"/>
        </w:rPr>
      </w:pPr>
    </w:p>
    <w:p w:rsidR="00287D71" w:rsidRPr="00C64A56" w:rsidRDefault="00287D71" w:rsidP="003D6F6A">
      <w:pPr>
        <w:spacing w:line="360" w:lineRule="auto"/>
        <w:ind w:right="-1"/>
        <w:jc w:val="both"/>
        <w:rPr>
          <w:rFonts w:ascii="Arial" w:hAnsi="Arial" w:cs="Arial"/>
        </w:rPr>
      </w:pPr>
    </w:p>
    <w:p w:rsidR="00424999" w:rsidRPr="00C64A56" w:rsidRDefault="00424999" w:rsidP="003D6F6A">
      <w:pPr>
        <w:spacing w:line="360" w:lineRule="auto"/>
        <w:ind w:right="-1"/>
        <w:jc w:val="both"/>
        <w:rPr>
          <w:rFonts w:ascii="Arial" w:hAnsi="Arial" w:cs="Arial"/>
        </w:rPr>
      </w:pPr>
    </w:p>
    <w:p w:rsidR="00D02291" w:rsidRPr="00C64A56" w:rsidRDefault="00D02291" w:rsidP="00946071">
      <w:pPr>
        <w:spacing w:line="360" w:lineRule="auto"/>
        <w:ind w:right="-1"/>
        <w:jc w:val="both"/>
        <w:rPr>
          <w:rFonts w:ascii="Arial" w:hAnsi="Arial" w:cs="Arial"/>
        </w:rPr>
      </w:pPr>
    </w:p>
    <w:sectPr w:rsidR="00D02291" w:rsidRPr="00C64A56" w:rsidSect="00F50D86">
      <w:headerReference w:type="even" r:id="rId13"/>
      <w:headerReference w:type="default" r:id="rId14"/>
      <w:footerReference w:type="even" r:id="rId15"/>
      <w:footerReference w:type="default" r:id="rId16"/>
      <w:headerReference w:type="first" r:id="rId17"/>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DBF" w:rsidRDefault="00233DBF">
      <w:r>
        <w:separator/>
      </w:r>
    </w:p>
  </w:endnote>
  <w:endnote w:type="continuationSeparator" w:id="0">
    <w:p w:rsidR="00233DBF" w:rsidRDefault="00233D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F3E27"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F3E27"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946071">
      <w:rPr>
        <w:rStyle w:val="Nmerodepgina"/>
        <w:noProof/>
      </w:rPr>
      <w:t>6</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DBF" w:rsidRDefault="00233DBF">
      <w:r>
        <w:separator/>
      </w:r>
    </w:p>
  </w:footnote>
  <w:footnote w:type="continuationSeparator" w:id="0">
    <w:p w:rsidR="00233DBF" w:rsidRDefault="00233D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F3E2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F3E27"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F3E2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0"/>
  </w:num>
  <w:num w:numId="4">
    <w:abstractNumId w:val="13"/>
  </w:num>
  <w:num w:numId="5">
    <w:abstractNumId w:val="18"/>
  </w:num>
  <w:num w:numId="6">
    <w:abstractNumId w:val="7"/>
    <w:lvlOverride w:ilvl="0">
      <w:lvl w:ilvl="0">
        <w:numFmt w:val="decimal"/>
        <w:lvlText w:val="%1."/>
        <w:lvlJc w:val="left"/>
      </w:lvl>
    </w:lvlOverride>
  </w:num>
  <w:num w:numId="7">
    <w:abstractNumId w:val="6"/>
  </w:num>
  <w:num w:numId="8">
    <w:abstractNumId w:val="1"/>
  </w:num>
  <w:num w:numId="9">
    <w:abstractNumId w:val="11"/>
  </w:num>
  <w:num w:numId="10">
    <w:abstractNumId w:val="9"/>
  </w:num>
  <w:num w:numId="11">
    <w:abstractNumId w:val="2"/>
  </w:num>
  <w:num w:numId="12">
    <w:abstractNumId w:val="14"/>
  </w:num>
  <w:num w:numId="13">
    <w:abstractNumId w:val="3"/>
  </w:num>
  <w:num w:numId="14">
    <w:abstractNumId w:val="4"/>
  </w:num>
  <w:num w:numId="15">
    <w:abstractNumId w:val="15"/>
  </w:num>
  <w:num w:numId="16">
    <w:abstractNumId w:val="17"/>
  </w:num>
  <w:num w:numId="17">
    <w:abstractNumId w:val="19"/>
  </w:num>
  <w:num w:numId="18">
    <w:abstractNumId w:val="21"/>
  </w:num>
  <w:num w:numId="19">
    <w:abstractNumId w:val="20"/>
  </w:num>
  <w:num w:numId="20">
    <w:abstractNumId w:val="16"/>
  </w:num>
  <w:num w:numId="21">
    <w:abstractNumId w:val="22"/>
  </w:num>
  <w:num w:numId="22">
    <w:abstractNumId w:val="0"/>
  </w:num>
  <w:num w:numId="23">
    <w:abstractNumId w:val="23"/>
  </w:num>
  <w:num w:numId="24">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stylePaneFormatFilter w:val="3F01"/>
  <w:defaultTabStop w:val="708"/>
  <w:hyphenationZone w:val="425"/>
  <w:characterSpacingControl w:val="doNotCompress"/>
  <w:hdrShapeDefaults>
    <o:shapedefaults v:ext="edit" spidmax="30822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3455"/>
    <w:rsid w:val="00005799"/>
    <w:rsid w:val="00005938"/>
    <w:rsid w:val="00005AFB"/>
    <w:rsid w:val="000063DE"/>
    <w:rsid w:val="0001570C"/>
    <w:rsid w:val="00017DA5"/>
    <w:rsid w:val="0003072D"/>
    <w:rsid w:val="00033922"/>
    <w:rsid w:val="00033CEB"/>
    <w:rsid w:val="000362A9"/>
    <w:rsid w:val="00037D25"/>
    <w:rsid w:val="00042584"/>
    <w:rsid w:val="00044D2E"/>
    <w:rsid w:val="00051042"/>
    <w:rsid w:val="000516A3"/>
    <w:rsid w:val="0005441C"/>
    <w:rsid w:val="000546BE"/>
    <w:rsid w:val="0005559E"/>
    <w:rsid w:val="00063CF8"/>
    <w:rsid w:val="00067615"/>
    <w:rsid w:val="000677B4"/>
    <w:rsid w:val="00067EEE"/>
    <w:rsid w:val="000743A0"/>
    <w:rsid w:val="00077A88"/>
    <w:rsid w:val="000825EC"/>
    <w:rsid w:val="00083E4E"/>
    <w:rsid w:val="00086F28"/>
    <w:rsid w:val="000915CD"/>
    <w:rsid w:val="00096DA1"/>
    <w:rsid w:val="000A133F"/>
    <w:rsid w:val="000A6A5F"/>
    <w:rsid w:val="000B30D9"/>
    <w:rsid w:val="000C2041"/>
    <w:rsid w:val="000C22DA"/>
    <w:rsid w:val="000C337E"/>
    <w:rsid w:val="000C3873"/>
    <w:rsid w:val="000C47AE"/>
    <w:rsid w:val="000C4953"/>
    <w:rsid w:val="000D5D61"/>
    <w:rsid w:val="000F1749"/>
    <w:rsid w:val="000F7844"/>
    <w:rsid w:val="0010060C"/>
    <w:rsid w:val="0010178D"/>
    <w:rsid w:val="0011301C"/>
    <w:rsid w:val="0011338B"/>
    <w:rsid w:val="001172ED"/>
    <w:rsid w:val="00117C70"/>
    <w:rsid w:val="001204C1"/>
    <w:rsid w:val="00126642"/>
    <w:rsid w:val="001360FD"/>
    <w:rsid w:val="00137AEE"/>
    <w:rsid w:val="00140D3C"/>
    <w:rsid w:val="00142C8E"/>
    <w:rsid w:val="0014307B"/>
    <w:rsid w:val="00143B44"/>
    <w:rsid w:val="00144AB1"/>
    <w:rsid w:val="00145211"/>
    <w:rsid w:val="00146353"/>
    <w:rsid w:val="00146577"/>
    <w:rsid w:val="00153427"/>
    <w:rsid w:val="00155425"/>
    <w:rsid w:val="00162E93"/>
    <w:rsid w:val="00163318"/>
    <w:rsid w:val="0016353A"/>
    <w:rsid w:val="00165508"/>
    <w:rsid w:val="00170C4A"/>
    <w:rsid w:val="00170D3F"/>
    <w:rsid w:val="001737EB"/>
    <w:rsid w:val="001765E7"/>
    <w:rsid w:val="001771E6"/>
    <w:rsid w:val="00181091"/>
    <w:rsid w:val="001829D4"/>
    <w:rsid w:val="00185C69"/>
    <w:rsid w:val="0018755D"/>
    <w:rsid w:val="00190868"/>
    <w:rsid w:val="001949CF"/>
    <w:rsid w:val="001969A3"/>
    <w:rsid w:val="001A15CD"/>
    <w:rsid w:val="001A6D78"/>
    <w:rsid w:val="001B78AD"/>
    <w:rsid w:val="001C0F7E"/>
    <w:rsid w:val="001C6A86"/>
    <w:rsid w:val="001D6AB5"/>
    <w:rsid w:val="001D7106"/>
    <w:rsid w:val="001E0A4E"/>
    <w:rsid w:val="001E0D97"/>
    <w:rsid w:val="001E491C"/>
    <w:rsid w:val="001E5F6F"/>
    <w:rsid w:val="001F194A"/>
    <w:rsid w:val="001F3E27"/>
    <w:rsid w:val="00202275"/>
    <w:rsid w:val="00206865"/>
    <w:rsid w:val="00222D9D"/>
    <w:rsid w:val="00224282"/>
    <w:rsid w:val="00225477"/>
    <w:rsid w:val="00232DFC"/>
    <w:rsid w:val="0023355F"/>
    <w:rsid w:val="00233DBF"/>
    <w:rsid w:val="00236A04"/>
    <w:rsid w:val="00241163"/>
    <w:rsid w:val="00241A9E"/>
    <w:rsid w:val="00247F1A"/>
    <w:rsid w:val="00250136"/>
    <w:rsid w:val="0025036B"/>
    <w:rsid w:val="002503E9"/>
    <w:rsid w:val="00250B2A"/>
    <w:rsid w:val="00255846"/>
    <w:rsid w:val="002661E3"/>
    <w:rsid w:val="00267153"/>
    <w:rsid w:val="00270928"/>
    <w:rsid w:val="002744D4"/>
    <w:rsid w:val="002759CE"/>
    <w:rsid w:val="00283E8B"/>
    <w:rsid w:val="00284FAC"/>
    <w:rsid w:val="00287D71"/>
    <w:rsid w:val="002A0150"/>
    <w:rsid w:val="002A06DB"/>
    <w:rsid w:val="002A2EE4"/>
    <w:rsid w:val="002A6352"/>
    <w:rsid w:val="002A670B"/>
    <w:rsid w:val="002B04BE"/>
    <w:rsid w:val="002B268C"/>
    <w:rsid w:val="002B4021"/>
    <w:rsid w:val="002B579C"/>
    <w:rsid w:val="002B7B7F"/>
    <w:rsid w:val="002C2243"/>
    <w:rsid w:val="002C61B5"/>
    <w:rsid w:val="002D11AD"/>
    <w:rsid w:val="002D2ED2"/>
    <w:rsid w:val="002D32FE"/>
    <w:rsid w:val="002D50B8"/>
    <w:rsid w:val="002E053F"/>
    <w:rsid w:val="002F042F"/>
    <w:rsid w:val="002F0907"/>
    <w:rsid w:val="002F6D88"/>
    <w:rsid w:val="002F7B53"/>
    <w:rsid w:val="00303BB2"/>
    <w:rsid w:val="003067DF"/>
    <w:rsid w:val="00306DA2"/>
    <w:rsid w:val="00311908"/>
    <w:rsid w:val="003149AA"/>
    <w:rsid w:val="0031620C"/>
    <w:rsid w:val="00320289"/>
    <w:rsid w:val="00323572"/>
    <w:rsid w:val="00323FC4"/>
    <w:rsid w:val="0032681D"/>
    <w:rsid w:val="00326C83"/>
    <w:rsid w:val="00331994"/>
    <w:rsid w:val="00332AC6"/>
    <w:rsid w:val="00332F1F"/>
    <w:rsid w:val="00336A68"/>
    <w:rsid w:val="003416DE"/>
    <w:rsid w:val="003458AA"/>
    <w:rsid w:val="00357DD2"/>
    <w:rsid w:val="00361A96"/>
    <w:rsid w:val="0036668D"/>
    <w:rsid w:val="0036733A"/>
    <w:rsid w:val="00372666"/>
    <w:rsid w:val="00373292"/>
    <w:rsid w:val="00374027"/>
    <w:rsid w:val="003A1F2B"/>
    <w:rsid w:val="003A3123"/>
    <w:rsid w:val="003B5346"/>
    <w:rsid w:val="003B6FA8"/>
    <w:rsid w:val="003C1F2E"/>
    <w:rsid w:val="003C242B"/>
    <w:rsid w:val="003D0308"/>
    <w:rsid w:val="003D1CE9"/>
    <w:rsid w:val="003D5A4F"/>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E9C"/>
    <w:rsid w:val="00445C86"/>
    <w:rsid w:val="00447A97"/>
    <w:rsid w:val="00447B6D"/>
    <w:rsid w:val="00447F11"/>
    <w:rsid w:val="00450935"/>
    <w:rsid w:val="00453887"/>
    <w:rsid w:val="00453DE1"/>
    <w:rsid w:val="00457758"/>
    <w:rsid w:val="0046105C"/>
    <w:rsid w:val="00464DB2"/>
    <w:rsid w:val="00465065"/>
    <w:rsid w:val="0046656C"/>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2021"/>
    <w:rsid w:val="004A4482"/>
    <w:rsid w:val="004A6D3B"/>
    <w:rsid w:val="004B28BD"/>
    <w:rsid w:val="004C1F35"/>
    <w:rsid w:val="004C2912"/>
    <w:rsid w:val="004C358F"/>
    <w:rsid w:val="004C4D7A"/>
    <w:rsid w:val="004C5EF2"/>
    <w:rsid w:val="004D11E2"/>
    <w:rsid w:val="004D231A"/>
    <w:rsid w:val="004D2CC9"/>
    <w:rsid w:val="004D4741"/>
    <w:rsid w:val="004D4815"/>
    <w:rsid w:val="004D7C75"/>
    <w:rsid w:val="004E07F8"/>
    <w:rsid w:val="004E0928"/>
    <w:rsid w:val="004F1AE6"/>
    <w:rsid w:val="004F39A9"/>
    <w:rsid w:val="004F4321"/>
    <w:rsid w:val="004F494F"/>
    <w:rsid w:val="004F7038"/>
    <w:rsid w:val="00502F2D"/>
    <w:rsid w:val="005109CF"/>
    <w:rsid w:val="00510B3A"/>
    <w:rsid w:val="005111CB"/>
    <w:rsid w:val="00511E39"/>
    <w:rsid w:val="00511F20"/>
    <w:rsid w:val="005160A3"/>
    <w:rsid w:val="00517927"/>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13E9"/>
    <w:rsid w:val="00594857"/>
    <w:rsid w:val="00595B9D"/>
    <w:rsid w:val="00595E1F"/>
    <w:rsid w:val="005B364E"/>
    <w:rsid w:val="005B56D9"/>
    <w:rsid w:val="005B75C9"/>
    <w:rsid w:val="005C19B9"/>
    <w:rsid w:val="005C42C4"/>
    <w:rsid w:val="005C523E"/>
    <w:rsid w:val="005D24D0"/>
    <w:rsid w:val="005D7F03"/>
    <w:rsid w:val="005E548E"/>
    <w:rsid w:val="005E56CF"/>
    <w:rsid w:val="005F23CF"/>
    <w:rsid w:val="005F41D2"/>
    <w:rsid w:val="005F6243"/>
    <w:rsid w:val="005F7C83"/>
    <w:rsid w:val="0060154D"/>
    <w:rsid w:val="0061004A"/>
    <w:rsid w:val="00621861"/>
    <w:rsid w:val="0063121F"/>
    <w:rsid w:val="00632790"/>
    <w:rsid w:val="00643141"/>
    <w:rsid w:val="006505F3"/>
    <w:rsid w:val="00655691"/>
    <w:rsid w:val="00657119"/>
    <w:rsid w:val="0066302C"/>
    <w:rsid w:val="006631FB"/>
    <w:rsid w:val="006636A4"/>
    <w:rsid w:val="00664269"/>
    <w:rsid w:val="00664504"/>
    <w:rsid w:val="006716D9"/>
    <w:rsid w:val="00676AA2"/>
    <w:rsid w:val="006774FA"/>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0258"/>
    <w:rsid w:val="006D4E8D"/>
    <w:rsid w:val="006D5D22"/>
    <w:rsid w:val="006E3887"/>
    <w:rsid w:val="006E6BA2"/>
    <w:rsid w:val="006E73A1"/>
    <w:rsid w:val="006E74F1"/>
    <w:rsid w:val="006F4431"/>
    <w:rsid w:val="006F6E0F"/>
    <w:rsid w:val="007019DC"/>
    <w:rsid w:val="00701F10"/>
    <w:rsid w:val="00702897"/>
    <w:rsid w:val="00717478"/>
    <w:rsid w:val="00721D3E"/>
    <w:rsid w:val="00722C56"/>
    <w:rsid w:val="00727120"/>
    <w:rsid w:val="0072781A"/>
    <w:rsid w:val="00731EBB"/>
    <w:rsid w:val="007320B2"/>
    <w:rsid w:val="00734A63"/>
    <w:rsid w:val="00741184"/>
    <w:rsid w:val="007419EB"/>
    <w:rsid w:val="00743988"/>
    <w:rsid w:val="007440F5"/>
    <w:rsid w:val="0074498C"/>
    <w:rsid w:val="00760140"/>
    <w:rsid w:val="007635F9"/>
    <w:rsid w:val="00763C44"/>
    <w:rsid w:val="00765E89"/>
    <w:rsid w:val="00767711"/>
    <w:rsid w:val="00772E66"/>
    <w:rsid w:val="0077398E"/>
    <w:rsid w:val="00782C76"/>
    <w:rsid w:val="00786044"/>
    <w:rsid w:val="00786F4F"/>
    <w:rsid w:val="00792B95"/>
    <w:rsid w:val="00793A58"/>
    <w:rsid w:val="00793DAF"/>
    <w:rsid w:val="007969C0"/>
    <w:rsid w:val="007A19AF"/>
    <w:rsid w:val="007A1D46"/>
    <w:rsid w:val="007A34C4"/>
    <w:rsid w:val="007A351D"/>
    <w:rsid w:val="007A6627"/>
    <w:rsid w:val="007A6B05"/>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162AD"/>
    <w:rsid w:val="00817F2A"/>
    <w:rsid w:val="00825050"/>
    <w:rsid w:val="00832245"/>
    <w:rsid w:val="008343D7"/>
    <w:rsid w:val="00841973"/>
    <w:rsid w:val="00843326"/>
    <w:rsid w:val="0084497B"/>
    <w:rsid w:val="00845420"/>
    <w:rsid w:val="00845B49"/>
    <w:rsid w:val="008523FA"/>
    <w:rsid w:val="00855B9F"/>
    <w:rsid w:val="00856ED7"/>
    <w:rsid w:val="00860F3A"/>
    <w:rsid w:val="00862061"/>
    <w:rsid w:val="00865C66"/>
    <w:rsid w:val="00870332"/>
    <w:rsid w:val="00870EF6"/>
    <w:rsid w:val="00872127"/>
    <w:rsid w:val="0087231C"/>
    <w:rsid w:val="008802B6"/>
    <w:rsid w:val="008839CF"/>
    <w:rsid w:val="0088710E"/>
    <w:rsid w:val="00890667"/>
    <w:rsid w:val="00895754"/>
    <w:rsid w:val="008A04B0"/>
    <w:rsid w:val="008A7198"/>
    <w:rsid w:val="008B1379"/>
    <w:rsid w:val="008B271D"/>
    <w:rsid w:val="008B475A"/>
    <w:rsid w:val="008B6D39"/>
    <w:rsid w:val="008D740A"/>
    <w:rsid w:val="008E5B16"/>
    <w:rsid w:val="008E7057"/>
    <w:rsid w:val="008F00DE"/>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416AE"/>
    <w:rsid w:val="009422B8"/>
    <w:rsid w:val="009426CD"/>
    <w:rsid w:val="009438A7"/>
    <w:rsid w:val="00946071"/>
    <w:rsid w:val="00946110"/>
    <w:rsid w:val="00947AA3"/>
    <w:rsid w:val="00947BA6"/>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6BCB"/>
    <w:rsid w:val="009B39B1"/>
    <w:rsid w:val="009B433E"/>
    <w:rsid w:val="009B6BE2"/>
    <w:rsid w:val="009B7116"/>
    <w:rsid w:val="009C162D"/>
    <w:rsid w:val="009C3C6E"/>
    <w:rsid w:val="009C4094"/>
    <w:rsid w:val="009C4524"/>
    <w:rsid w:val="009C6D7B"/>
    <w:rsid w:val="009C7714"/>
    <w:rsid w:val="009D58A2"/>
    <w:rsid w:val="009E0EF0"/>
    <w:rsid w:val="009E1A38"/>
    <w:rsid w:val="009F140E"/>
    <w:rsid w:val="009F333D"/>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24DC"/>
    <w:rsid w:val="00A6435C"/>
    <w:rsid w:val="00A72052"/>
    <w:rsid w:val="00A82804"/>
    <w:rsid w:val="00A8339A"/>
    <w:rsid w:val="00A83D2C"/>
    <w:rsid w:val="00A8474C"/>
    <w:rsid w:val="00A84D3A"/>
    <w:rsid w:val="00A9327F"/>
    <w:rsid w:val="00A95C68"/>
    <w:rsid w:val="00A9688F"/>
    <w:rsid w:val="00A96918"/>
    <w:rsid w:val="00A96FFE"/>
    <w:rsid w:val="00AA7BA7"/>
    <w:rsid w:val="00AB6707"/>
    <w:rsid w:val="00AC0E7B"/>
    <w:rsid w:val="00AC2E6D"/>
    <w:rsid w:val="00AC610C"/>
    <w:rsid w:val="00AC66E3"/>
    <w:rsid w:val="00AD12E3"/>
    <w:rsid w:val="00AD6A06"/>
    <w:rsid w:val="00AE0CDC"/>
    <w:rsid w:val="00AE359E"/>
    <w:rsid w:val="00AE7F81"/>
    <w:rsid w:val="00AF0E4C"/>
    <w:rsid w:val="00AF3041"/>
    <w:rsid w:val="00AF30DF"/>
    <w:rsid w:val="00B00F10"/>
    <w:rsid w:val="00B01332"/>
    <w:rsid w:val="00B0481C"/>
    <w:rsid w:val="00B07DFC"/>
    <w:rsid w:val="00B11575"/>
    <w:rsid w:val="00B121E1"/>
    <w:rsid w:val="00B1439E"/>
    <w:rsid w:val="00B1674E"/>
    <w:rsid w:val="00B2104D"/>
    <w:rsid w:val="00B226F2"/>
    <w:rsid w:val="00B25CE4"/>
    <w:rsid w:val="00B267C7"/>
    <w:rsid w:val="00B274E9"/>
    <w:rsid w:val="00B30A91"/>
    <w:rsid w:val="00B32BCB"/>
    <w:rsid w:val="00B3697E"/>
    <w:rsid w:val="00B51FE2"/>
    <w:rsid w:val="00B5283C"/>
    <w:rsid w:val="00B52CEA"/>
    <w:rsid w:val="00B665F0"/>
    <w:rsid w:val="00B6674D"/>
    <w:rsid w:val="00B70728"/>
    <w:rsid w:val="00B7291D"/>
    <w:rsid w:val="00B75112"/>
    <w:rsid w:val="00B77CE2"/>
    <w:rsid w:val="00B81103"/>
    <w:rsid w:val="00B82E88"/>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690"/>
    <w:rsid w:val="00BE3E2D"/>
    <w:rsid w:val="00BF0199"/>
    <w:rsid w:val="00BF667F"/>
    <w:rsid w:val="00C00CFC"/>
    <w:rsid w:val="00C06DF8"/>
    <w:rsid w:val="00C12F38"/>
    <w:rsid w:val="00C23C6B"/>
    <w:rsid w:val="00C255CE"/>
    <w:rsid w:val="00C26665"/>
    <w:rsid w:val="00C31534"/>
    <w:rsid w:val="00C424D7"/>
    <w:rsid w:val="00C447AA"/>
    <w:rsid w:val="00C47429"/>
    <w:rsid w:val="00C512FC"/>
    <w:rsid w:val="00C52B72"/>
    <w:rsid w:val="00C5559F"/>
    <w:rsid w:val="00C62F9B"/>
    <w:rsid w:val="00C64A56"/>
    <w:rsid w:val="00C65388"/>
    <w:rsid w:val="00C66C7D"/>
    <w:rsid w:val="00C73B86"/>
    <w:rsid w:val="00C74157"/>
    <w:rsid w:val="00C74FA9"/>
    <w:rsid w:val="00C760CD"/>
    <w:rsid w:val="00C76228"/>
    <w:rsid w:val="00C81535"/>
    <w:rsid w:val="00C82D60"/>
    <w:rsid w:val="00C96FA0"/>
    <w:rsid w:val="00CA103B"/>
    <w:rsid w:val="00CA1E91"/>
    <w:rsid w:val="00CA250D"/>
    <w:rsid w:val="00CA4D7C"/>
    <w:rsid w:val="00CA7482"/>
    <w:rsid w:val="00CA7F0F"/>
    <w:rsid w:val="00CB5861"/>
    <w:rsid w:val="00CB5DEA"/>
    <w:rsid w:val="00CC4A28"/>
    <w:rsid w:val="00CD0F80"/>
    <w:rsid w:val="00CD4A33"/>
    <w:rsid w:val="00CE207A"/>
    <w:rsid w:val="00CE253C"/>
    <w:rsid w:val="00CE34FA"/>
    <w:rsid w:val="00CE459B"/>
    <w:rsid w:val="00CE5E50"/>
    <w:rsid w:val="00CF00C7"/>
    <w:rsid w:val="00CF3B47"/>
    <w:rsid w:val="00CF48C2"/>
    <w:rsid w:val="00CF4A91"/>
    <w:rsid w:val="00CF612E"/>
    <w:rsid w:val="00D02291"/>
    <w:rsid w:val="00D04FB9"/>
    <w:rsid w:val="00D06A14"/>
    <w:rsid w:val="00D07FF9"/>
    <w:rsid w:val="00D12075"/>
    <w:rsid w:val="00D144CA"/>
    <w:rsid w:val="00D15A68"/>
    <w:rsid w:val="00D170D1"/>
    <w:rsid w:val="00D2098C"/>
    <w:rsid w:val="00D20FA5"/>
    <w:rsid w:val="00D23363"/>
    <w:rsid w:val="00D23529"/>
    <w:rsid w:val="00D24ABE"/>
    <w:rsid w:val="00D33EE5"/>
    <w:rsid w:val="00D33F86"/>
    <w:rsid w:val="00D3404A"/>
    <w:rsid w:val="00D37D00"/>
    <w:rsid w:val="00D40796"/>
    <w:rsid w:val="00D40D50"/>
    <w:rsid w:val="00D417E1"/>
    <w:rsid w:val="00D430DF"/>
    <w:rsid w:val="00D44DD9"/>
    <w:rsid w:val="00D45F1E"/>
    <w:rsid w:val="00D46CBA"/>
    <w:rsid w:val="00D50D3C"/>
    <w:rsid w:val="00D54079"/>
    <w:rsid w:val="00D549E0"/>
    <w:rsid w:val="00D557E5"/>
    <w:rsid w:val="00D60A2F"/>
    <w:rsid w:val="00D65397"/>
    <w:rsid w:val="00D6655E"/>
    <w:rsid w:val="00D67092"/>
    <w:rsid w:val="00D677E7"/>
    <w:rsid w:val="00D70381"/>
    <w:rsid w:val="00D70616"/>
    <w:rsid w:val="00D71DD8"/>
    <w:rsid w:val="00D74366"/>
    <w:rsid w:val="00D83636"/>
    <w:rsid w:val="00D84073"/>
    <w:rsid w:val="00D840C3"/>
    <w:rsid w:val="00D91BBD"/>
    <w:rsid w:val="00D93BDB"/>
    <w:rsid w:val="00D93C06"/>
    <w:rsid w:val="00DA5CEF"/>
    <w:rsid w:val="00DA7836"/>
    <w:rsid w:val="00DB0B67"/>
    <w:rsid w:val="00DB107B"/>
    <w:rsid w:val="00DB6FE4"/>
    <w:rsid w:val="00DB7CC5"/>
    <w:rsid w:val="00DC1095"/>
    <w:rsid w:val="00DC1455"/>
    <w:rsid w:val="00DC2219"/>
    <w:rsid w:val="00DC7EF8"/>
    <w:rsid w:val="00DD1B7E"/>
    <w:rsid w:val="00DD2A26"/>
    <w:rsid w:val="00DD529E"/>
    <w:rsid w:val="00DD6B7F"/>
    <w:rsid w:val="00DF069E"/>
    <w:rsid w:val="00DF2C68"/>
    <w:rsid w:val="00E00F46"/>
    <w:rsid w:val="00E056CD"/>
    <w:rsid w:val="00E058E4"/>
    <w:rsid w:val="00E10E58"/>
    <w:rsid w:val="00E116DF"/>
    <w:rsid w:val="00E123C5"/>
    <w:rsid w:val="00E14E5D"/>
    <w:rsid w:val="00E15970"/>
    <w:rsid w:val="00E32759"/>
    <w:rsid w:val="00E42755"/>
    <w:rsid w:val="00E42BF7"/>
    <w:rsid w:val="00E51257"/>
    <w:rsid w:val="00E54A89"/>
    <w:rsid w:val="00E614F2"/>
    <w:rsid w:val="00E6697D"/>
    <w:rsid w:val="00E66B9E"/>
    <w:rsid w:val="00E71175"/>
    <w:rsid w:val="00E75290"/>
    <w:rsid w:val="00E803DC"/>
    <w:rsid w:val="00E9115F"/>
    <w:rsid w:val="00E913E2"/>
    <w:rsid w:val="00E965BD"/>
    <w:rsid w:val="00EA0389"/>
    <w:rsid w:val="00EA117C"/>
    <w:rsid w:val="00EA76F3"/>
    <w:rsid w:val="00EA7AE7"/>
    <w:rsid w:val="00EB27C2"/>
    <w:rsid w:val="00EB32D4"/>
    <w:rsid w:val="00EB47E7"/>
    <w:rsid w:val="00EB53BE"/>
    <w:rsid w:val="00EB592E"/>
    <w:rsid w:val="00EB5DEB"/>
    <w:rsid w:val="00EB602F"/>
    <w:rsid w:val="00EB7936"/>
    <w:rsid w:val="00EC0F42"/>
    <w:rsid w:val="00EC4C56"/>
    <w:rsid w:val="00EC65E3"/>
    <w:rsid w:val="00ED148D"/>
    <w:rsid w:val="00ED2338"/>
    <w:rsid w:val="00ED4B6B"/>
    <w:rsid w:val="00ED5F41"/>
    <w:rsid w:val="00EE229B"/>
    <w:rsid w:val="00EE7B55"/>
    <w:rsid w:val="00EF1B04"/>
    <w:rsid w:val="00EF3860"/>
    <w:rsid w:val="00EF42E4"/>
    <w:rsid w:val="00EF669D"/>
    <w:rsid w:val="00F064C2"/>
    <w:rsid w:val="00F14190"/>
    <w:rsid w:val="00F144D9"/>
    <w:rsid w:val="00F2402F"/>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19CF"/>
    <w:rsid w:val="00F73E7A"/>
    <w:rsid w:val="00F74F97"/>
    <w:rsid w:val="00F76C6A"/>
    <w:rsid w:val="00F86132"/>
    <w:rsid w:val="00F869B5"/>
    <w:rsid w:val="00F876FB"/>
    <w:rsid w:val="00F931CB"/>
    <w:rsid w:val="00FA1E6D"/>
    <w:rsid w:val="00FA3AA0"/>
    <w:rsid w:val="00FA3CE9"/>
    <w:rsid w:val="00FA6E90"/>
    <w:rsid w:val="00FB0C8A"/>
    <w:rsid w:val="00FB1706"/>
    <w:rsid w:val="00FB39C9"/>
    <w:rsid w:val="00FB6E23"/>
    <w:rsid w:val="00FB7FAE"/>
    <w:rsid w:val="00FC0003"/>
    <w:rsid w:val="00FC02D8"/>
    <w:rsid w:val="00FD0CAD"/>
    <w:rsid w:val="00FE3DA4"/>
    <w:rsid w:val="00FE78B4"/>
    <w:rsid w:val="00FF2C17"/>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iPriority w:val="99"/>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S/TXT/HTML/?uri=URISERV:l26057a&amp;from=ES"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oticias.juridicas.com/base_datos/Admin/rdleg1-1996.l3t1.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8BAFC-EE89-4AE7-A4A8-2A716B75F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899</Words>
  <Characters>4945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5833</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2016-01-17T18:09:00Z</cp:lastPrinted>
  <dcterms:created xsi:type="dcterms:W3CDTF">2016-03-18T07:53:00Z</dcterms:created>
  <dcterms:modified xsi:type="dcterms:W3CDTF">2016-03-18T08:09:00Z</dcterms:modified>
</cp:coreProperties>
</file>