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C9" w:rsidRPr="007320B2" w:rsidRDefault="00985CDE" w:rsidP="007320B2">
      <w:pPr>
        <w:pStyle w:val="Style1"/>
        <w:kinsoku w:val="0"/>
        <w:autoSpaceDE/>
        <w:autoSpaceDN/>
        <w:adjustRightInd/>
        <w:spacing w:before="144" w:line="360" w:lineRule="auto"/>
        <w:ind w:right="-1"/>
        <w:jc w:val="both"/>
        <w:rPr>
          <w:rFonts w:ascii="Arial" w:hAnsi="Arial" w:cs="Arial"/>
          <w:sz w:val="24"/>
          <w:szCs w:val="24"/>
        </w:rPr>
      </w:pPr>
      <w:r>
        <w:rPr>
          <w:rStyle w:val="CharacterStyle2"/>
          <w:rFonts w:ascii="Arial" w:hAnsi="Arial" w:cs="Arial"/>
          <w:sz w:val="24"/>
          <w:szCs w:val="24"/>
        </w:rPr>
        <w:t xml:space="preserve">El vencimiento anticipado es abusivo. </w:t>
      </w:r>
      <w:r w:rsidR="007320B2" w:rsidRPr="007320B2">
        <w:rPr>
          <w:rStyle w:val="CharacterStyle2"/>
          <w:rFonts w:ascii="Arial" w:hAnsi="Arial" w:cs="Arial"/>
          <w:sz w:val="24"/>
          <w:szCs w:val="24"/>
        </w:rPr>
        <w:t xml:space="preserve">El Tribunal Supremo </w:t>
      </w:r>
      <w:r w:rsidR="00FB39C9" w:rsidRPr="007320B2">
        <w:rPr>
          <w:rFonts w:ascii="Arial" w:hAnsi="Arial" w:cs="Arial"/>
          <w:sz w:val="24"/>
          <w:szCs w:val="24"/>
        </w:rPr>
        <w:t xml:space="preserve"> precisa los efectos de la declaración como abusiva de las cláusulas de vencimiento anticipado de los contratos de préstamo hipotecario</w:t>
      </w:r>
      <w:r w:rsidR="007320B2">
        <w:rPr>
          <w:rFonts w:ascii="Arial" w:hAnsi="Arial" w:cs="Arial"/>
          <w:sz w:val="24"/>
          <w:szCs w:val="24"/>
        </w:rPr>
        <w:t>.</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La Sala Primera del TS ha dictado una sentencia de fecha 23 de diciembre de 2015 (sentencia número 705/2015, ponente: señor Vela Torres), en la reitera y aclara su doctrina sobre la declaración de nulidad de las cláusulas de los préstamos hipotecarios consideradas abusivas.</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Y lo hace en una extensa y detallada sentencia por la que desestima el recurso interpuesto por dos entidades bancarias, con la sentencia de la AP Madrid de 26 de julio de 2013, en el que se estimaba parcialmente una acción colectiva interpuesta por la OCU en la que solicitaba la nulidad de múltiples cláusulas en diversos contratos bancarios de dichas entidades.</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 xml:space="preserve">Entre otras cosas, la Sala sostiene que la validez general de las cláusulas de vencimiento anticipado no excluye la posibilidad de que sean consideradas abusivas, y por tanto, nulas, atendiendo a las circunstancias del caso, en la forma explicada por el TJUE en la sentencia de 14 de marzo de 2013 (asunto </w:t>
      </w:r>
      <w:proofErr w:type="spellStart"/>
      <w:r w:rsidRPr="007320B2">
        <w:rPr>
          <w:rFonts w:ascii="Arial" w:hAnsi="Arial" w:cs="Arial"/>
        </w:rPr>
        <w:t>Aziz</w:t>
      </w:r>
      <w:proofErr w:type="spellEnd"/>
      <w:r w:rsidRPr="007320B2">
        <w:rPr>
          <w:rFonts w:ascii="Arial" w:hAnsi="Arial" w:cs="Arial"/>
        </w:rPr>
        <w:t>).</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Por ello estima que la nulidad de la cláusula de vencimiento anticipado prevista por uno de dichos contratos, al no superar los estándares exigibles, pues no modula la gravedad del incumplimiento en función de la duración y cuantía del préstamo, no permite al consumidor evitar su aplicación mediante una conducta diligente de reparación y posibilita la resolución del préstamo por el incumplimiento de un solo plazo, incluso parcial.</w:t>
      </w:r>
    </w:p>
    <w:p w:rsidR="00FB39C9" w:rsidRPr="007320B2" w:rsidRDefault="00FB39C9" w:rsidP="007320B2">
      <w:pPr>
        <w:ind w:right="-1"/>
        <w:jc w:val="both"/>
        <w:rPr>
          <w:rFonts w:ascii="Arial" w:hAnsi="Arial" w:cs="Arial"/>
        </w:rPr>
      </w:pPr>
      <w:r w:rsidRPr="007320B2">
        <w:rPr>
          <w:rFonts w:ascii="Arial" w:hAnsi="Arial" w:cs="Arial"/>
        </w:rPr>
        <w:t>Efectos de la declaración de una cláusula como abusiva</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 xml:space="preserve">Sobre los efectos de la </w:t>
      </w:r>
      <w:proofErr w:type="spellStart"/>
      <w:r w:rsidRPr="007320B2">
        <w:rPr>
          <w:rFonts w:ascii="Arial" w:hAnsi="Arial" w:cs="Arial"/>
        </w:rPr>
        <w:t>abusividad</w:t>
      </w:r>
      <w:proofErr w:type="spellEnd"/>
      <w:r w:rsidRPr="007320B2">
        <w:rPr>
          <w:rFonts w:ascii="Arial" w:hAnsi="Arial" w:cs="Arial"/>
        </w:rPr>
        <w:t>, la sentencia razona que la nulidad de la cláusula no siempre conllevará el sobreseimiento de la ejecución hipotecaria. La tutela de los consumidores aconseja evitar interpretaciones maximalistas que, bajo una apariencia de máxima protección, tengan como consecuencia paradójica la restricción del acceso al crédito hipotecario y, derivadamente, a la adquisición de vivienda en propiedad. El mismo principio de equilibrio en las prestaciones que ha de presidir la interpretación de la cláusula del vencimiento anticipado revela lo inadecuado de obligar a las entidades prestamistas, ante comportamientos de flagrante morosidad, a acudir en exclusiva al procedimiento declarativo para obtener la resolución del préstamo, con cierre de la vía ejecutiva especial legalmente prevista.</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lastRenderedPageBreak/>
        <w:t>Si la nulidad del vencimiento anticipado conllevara el cierre del proceso ejecutivo incluso en los supuestos en que la gravedad del incumplimiento justificara el ejercicio de la acción hipotecaria, se privaría al deudor de las especiales ventajas que contiene este tipo de procedimiento, como la fijación de un límite de tasación para la subasta (75% de la tasación del préstamo), las posibilidades de liberar la vivienda, la facultad de rehabilitar el contrato o la liberación de responsabilidad para el caso de adjudicación de la vivienda habitual hipotecada cuando el precio obtenido en la subasta fuera insuficiente para pagar la deuda.</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La nulidad de la cláusula sí puede producir el sobreseimiento de la ejecución si se dan las condiciones mínimas establecidas en la Ley de Enjuiciamiento Civil (el impago de tres plazos mensuales o un número de cuotas equivalente) y el tribunal valora además, en el caso concreto, que el ejercicio de la facultad de vencimiento anticipado no está justificado en función de los criterios fijados por el TJUE: carácter esencial y no secundario de la obligación incumplida, importe impagado en relación con la cuantía y duración del préstamo y la posibilidad real que el consumidor haya tenido de evitar la consecuencia del vencimiento anticipado.</w:t>
      </w:r>
    </w:p>
    <w:p w:rsidR="00FB39C9" w:rsidRPr="007320B2" w:rsidRDefault="00FB39C9" w:rsidP="007320B2">
      <w:pPr>
        <w:ind w:right="-1"/>
        <w:jc w:val="both"/>
        <w:rPr>
          <w:rFonts w:ascii="Arial" w:hAnsi="Arial" w:cs="Arial"/>
        </w:rPr>
      </w:pPr>
      <w:r w:rsidRPr="007320B2">
        <w:rPr>
          <w:rFonts w:ascii="Arial" w:hAnsi="Arial" w:cs="Arial"/>
        </w:rPr>
        <w:t>Imposición al consumidor de todos los costes del contrato</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La sentencia también considera nulas las cláusulas que imponen al consumidor todos los costes derivados de la concertación del contrato como consecuencia de la intervención notarial y registral y el pago de los tributos en los que el sujeto pasivo es el banco, como sucede en determinados hechos imponibles del Impuesto de Actos Jurídicos Documentados.</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Otras cláusulas consideradas nulas son las que imponen al consumidor el pago de los gastos pre-procesales, procesales o de honorarios de abogado y procurador contratados por la entidad prestamista, en casos de incumplimiento de su obligación de pago; las que impiden al prestatario variar el destino del inmueble sin la autorización expresa del banco; y las que equiparan la aceptación por el cliente de una oferta telefónica a su firma manuscrita y a la asunción de las condiciones particulares del contrato.</w:t>
      </w:r>
    </w:p>
    <w:p w:rsidR="00FB39C9" w:rsidRPr="007320B2" w:rsidRDefault="00FB39C9" w:rsidP="007320B2">
      <w:pPr>
        <w:ind w:right="-1"/>
        <w:jc w:val="both"/>
        <w:rPr>
          <w:rFonts w:ascii="Arial" w:hAnsi="Arial" w:cs="Arial"/>
        </w:rPr>
      </w:pPr>
      <w:r w:rsidRPr="007320B2">
        <w:rPr>
          <w:rFonts w:ascii="Arial" w:hAnsi="Arial" w:cs="Arial"/>
        </w:rPr>
        <w:t>Intereses de demora</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En materia de interés de demora, la sentencia mantiene la declaración de nulidad por abusivo del tipo fijado en el préstamo hipotecario  al 19% y, aplicando el mismo criterio establecido para los préstamos personales, considera que la nulidad afectará al exceso respecto del interés remuneratorio pactado.</w:t>
      </w:r>
    </w:p>
    <w:p w:rsidR="00FB39C9" w:rsidRPr="007320B2" w:rsidRDefault="00FB39C9" w:rsidP="007320B2">
      <w:pPr>
        <w:ind w:right="-1"/>
        <w:jc w:val="both"/>
        <w:rPr>
          <w:rFonts w:ascii="Arial" w:hAnsi="Arial" w:cs="Arial"/>
        </w:rPr>
      </w:pPr>
    </w:p>
    <w:p w:rsidR="00FB39C9" w:rsidRPr="007320B2" w:rsidRDefault="00FB39C9" w:rsidP="007320B2">
      <w:pPr>
        <w:ind w:right="-1"/>
        <w:jc w:val="both"/>
        <w:rPr>
          <w:rFonts w:ascii="Arial" w:hAnsi="Arial" w:cs="Arial"/>
        </w:rPr>
      </w:pPr>
      <w:r w:rsidRPr="007320B2">
        <w:rPr>
          <w:rFonts w:ascii="Arial" w:hAnsi="Arial" w:cs="Arial"/>
        </w:rPr>
        <w:t xml:space="preserve">La sentencia cuenta con un voto particular concurrente del Magistrado señor Orduña Moreno, que, sin cuestionar el fallo, expresa su discrepancia sobre las </w:t>
      </w:r>
      <w:r w:rsidRPr="007320B2">
        <w:rPr>
          <w:rFonts w:ascii="Arial" w:hAnsi="Arial" w:cs="Arial"/>
        </w:rPr>
        <w:lastRenderedPageBreak/>
        <w:t xml:space="preserve">consecuencias de la </w:t>
      </w:r>
      <w:proofErr w:type="spellStart"/>
      <w:r w:rsidRPr="007320B2">
        <w:rPr>
          <w:rFonts w:ascii="Arial" w:hAnsi="Arial" w:cs="Arial"/>
        </w:rPr>
        <w:t>abusividad</w:t>
      </w:r>
      <w:proofErr w:type="spellEnd"/>
      <w:r w:rsidRPr="007320B2">
        <w:rPr>
          <w:rFonts w:ascii="Arial" w:hAnsi="Arial" w:cs="Arial"/>
        </w:rPr>
        <w:t xml:space="preserve"> del vencimiento anticipado y sus efectos sobre el proceso de ejecución hipotecaria que, en su opinión, debería ser siempre sobreseído.</w:t>
      </w:r>
    </w:p>
    <w:p w:rsidR="00CE459B" w:rsidRPr="007320B2" w:rsidRDefault="00CE459B" w:rsidP="007320B2">
      <w:pPr>
        <w:pStyle w:val="Style6"/>
        <w:kinsoku w:val="0"/>
        <w:autoSpaceDE/>
        <w:autoSpaceDN/>
        <w:spacing w:after="0" w:line="360" w:lineRule="auto"/>
        <w:ind w:right="-1"/>
        <w:rPr>
          <w:rStyle w:val="CharacterStyle1"/>
          <w:w w:val="105"/>
          <w:sz w:val="24"/>
          <w:szCs w:val="24"/>
        </w:rPr>
      </w:pPr>
    </w:p>
    <w:p w:rsidR="00E913E2" w:rsidRPr="007320B2" w:rsidRDefault="00E913E2" w:rsidP="007320B2">
      <w:pPr>
        <w:shd w:val="clear" w:color="auto" w:fill="FFFFFF"/>
        <w:spacing w:before="100" w:beforeAutospacing="1" w:after="240" w:line="360" w:lineRule="auto"/>
        <w:ind w:right="-1"/>
        <w:jc w:val="both"/>
        <w:rPr>
          <w:rFonts w:ascii="Arial" w:hAnsi="Arial" w:cs="Arial"/>
        </w:rPr>
      </w:pPr>
    </w:p>
    <w:p w:rsidR="00FF6DED" w:rsidRDefault="00FF6DED"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040D42" w:rsidRDefault="00040D42" w:rsidP="007320B2">
      <w:pPr>
        <w:shd w:val="clear" w:color="auto" w:fill="FFFFFF"/>
        <w:spacing w:before="100" w:beforeAutospacing="1" w:after="240" w:line="360" w:lineRule="auto"/>
        <w:ind w:right="-1"/>
        <w:jc w:val="both"/>
        <w:rPr>
          <w:rFonts w:ascii="Arial" w:hAnsi="Arial" w:cs="Arial"/>
        </w:rPr>
      </w:pPr>
    </w:p>
    <w:p w:rsidR="00483D29" w:rsidRPr="007320B2" w:rsidRDefault="00483D29" w:rsidP="007320B2">
      <w:pPr>
        <w:spacing w:line="360" w:lineRule="auto"/>
        <w:ind w:right="-1"/>
        <w:jc w:val="both"/>
        <w:rPr>
          <w:rFonts w:ascii="Arial" w:hAnsi="Arial" w:cs="Arial"/>
        </w:rPr>
      </w:pPr>
    </w:p>
    <w:p w:rsidR="00D02291" w:rsidRPr="007320B2" w:rsidRDefault="00D02291" w:rsidP="00912285">
      <w:pPr>
        <w:spacing w:line="360" w:lineRule="auto"/>
        <w:ind w:right="-1"/>
        <w:jc w:val="both"/>
        <w:rPr>
          <w:rFonts w:ascii="Arial" w:hAnsi="Arial" w:cs="Arial"/>
        </w:rPr>
      </w:pPr>
    </w:p>
    <w:sectPr w:rsidR="00D02291" w:rsidRPr="007320B2"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85" w:rsidRDefault="00D05A85">
      <w:r>
        <w:separator/>
      </w:r>
    </w:p>
  </w:endnote>
  <w:endnote w:type="continuationSeparator" w:id="0">
    <w:p w:rsidR="00D05A85" w:rsidRDefault="00D05A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E466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E466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12285">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85" w:rsidRDefault="00D05A85">
      <w:r>
        <w:separator/>
      </w:r>
    </w:p>
  </w:footnote>
  <w:footnote w:type="continuationSeparator" w:id="0">
    <w:p w:rsidR="00D05A85" w:rsidRDefault="00D05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E46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E4660"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E46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10342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0D42"/>
    <w:rsid w:val="00042584"/>
    <w:rsid w:val="000546BE"/>
    <w:rsid w:val="0005559E"/>
    <w:rsid w:val="000677B4"/>
    <w:rsid w:val="00067EEE"/>
    <w:rsid w:val="00077A88"/>
    <w:rsid w:val="000825EC"/>
    <w:rsid w:val="00083E4E"/>
    <w:rsid w:val="00086F28"/>
    <w:rsid w:val="0008738C"/>
    <w:rsid w:val="00096DA1"/>
    <w:rsid w:val="000A133F"/>
    <w:rsid w:val="000B30D9"/>
    <w:rsid w:val="000C2041"/>
    <w:rsid w:val="000C337E"/>
    <w:rsid w:val="000C47AE"/>
    <w:rsid w:val="000C4953"/>
    <w:rsid w:val="000D5D61"/>
    <w:rsid w:val="000F1749"/>
    <w:rsid w:val="0010060C"/>
    <w:rsid w:val="0010178D"/>
    <w:rsid w:val="001360FD"/>
    <w:rsid w:val="00140D3C"/>
    <w:rsid w:val="00142C8E"/>
    <w:rsid w:val="00145211"/>
    <w:rsid w:val="00146353"/>
    <w:rsid w:val="00162E93"/>
    <w:rsid w:val="00163318"/>
    <w:rsid w:val="0016353A"/>
    <w:rsid w:val="00165508"/>
    <w:rsid w:val="00170C4A"/>
    <w:rsid w:val="001765E7"/>
    <w:rsid w:val="001771E6"/>
    <w:rsid w:val="00181091"/>
    <w:rsid w:val="001829D4"/>
    <w:rsid w:val="001969A3"/>
    <w:rsid w:val="001A15CD"/>
    <w:rsid w:val="001A6D78"/>
    <w:rsid w:val="001C0F7E"/>
    <w:rsid w:val="001C6A86"/>
    <w:rsid w:val="001D7106"/>
    <w:rsid w:val="001E0A4E"/>
    <w:rsid w:val="001E0D97"/>
    <w:rsid w:val="001E5F6F"/>
    <w:rsid w:val="001F194A"/>
    <w:rsid w:val="00202275"/>
    <w:rsid w:val="00206865"/>
    <w:rsid w:val="00222D9D"/>
    <w:rsid w:val="00224282"/>
    <w:rsid w:val="00232DFC"/>
    <w:rsid w:val="00247F1A"/>
    <w:rsid w:val="002503E9"/>
    <w:rsid w:val="00250B2A"/>
    <w:rsid w:val="00255846"/>
    <w:rsid w:val="00267153"/>
    <w:rsid w:val="002744D4"/>
    <w:rsid w:val="002759CE"/>
    <w:rsid w:val="00283E8B"/>
    <w:rsid w:val="00284FAC"/>
    <w:rsid w:val="002A0150"/>
    <w:rsid w:val="002A2EE4"/>
    <w:rsid w:val="002A6352"/>
    <w:rsid w:val="002B268C"/>
    <w:rsid w:val="002B579C"/>
    <w:rsid w:val="002C2243"/>
    <w:rsid w:val="002D11AD"/>
    <w:rsid w:val="002D2ED2"/>
    <w:rsid w:val="002D32FE"/>
    <w:rsid w:val="002D50B8"/>
    <w:rsid w:val="002F6D88"/>
    <w:rsid w:val="002F7B53"/>
    <w:rsid w:val="00303BB2"/>
    <w:rsid w:val="003067DF"/>
    <w:rsid w:val="00320289"/>
    <w:rsid w:val="00323572"/>
    <w:rsid w:val="00323FC4"/>
    <w:rsid w:val="0032681D"/>
    <w:rsid w:val="00326C83"/>
    <w:rsid w:val="00332AC6"/>
    <w:rsid w:val="00332F1F"/>
    <w:rsid w:val="00357DD2"/>
    <w:rsid w:val="00361A96"/>
    <w:rsid w:val="0036668D"/>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24E68"/>
    <w:rsid w:val="004310CD"/>
    <w:rsid w:val="0044211B"/>
    <w:rsid w:val="00445C86"/>
    <w:rsid w:val="00447A97"/>
    <w:rsid w:val="00447B6D"/>
    <w:rsid w:val="00450935"/>
    <w:rsid w:val="00453887"/>
    <w:rsid w:val="00464DB2"/>
    <w:rsid w:val="00470834"/>
    <w:rsid w:val="004712E1"/>
    <w:rsid w:val="0047172D"/>
    <w:rsid w:val="00472F61"/>
    <w:rsid w:val="00475782"/>
    <w:rsid w:val="0048064B"/>
    <w:rsid w:val="004813E1"/>
    <w:rsid w:val="0048268F"/>
    <w:rsid w:val="00483D29"/>
    <w:rsid w:val="004856E9"/>
    <w:rsid w:val="0048734A"/>
    <w:rsid w:val="004A2021"/>
    <w:rsid w:val="004A4482"/>
    <w:rsid w:val="004A6D3B"/>
    <w:rsid w:val="004B28BD"/>
    <w:rsid w:val="004C358F"/>
    <w:rsid w:val="004C4D7A"/>
    <w:rsid w:val="004C5EF2"/>
    <w:rsid w:val="004D231A"/>
    <w:rsid w:val="004D4741"/>
    <w:rsid w:val="004D4815"/>
    <w:rsid w:val="004D7C75"/>
    <w:rsid w:val="004E0928"/>
    <w:rsid w:val="004F1AE6"/>
    <w:rsid w:val="004F4321"/>
    <w:rsid w:val="004F7038"/>
    <w:rsid w:val="00502F2D"/>
    <w:rsid w:val="005111CB"/>
    <w:rsid w:val="00511F20"/>
    <w:rsid w:val="00530120"/>
    <w:rsid w:val="005310EF"/>
    <w:rsid w:val="005314CC"/>
    <w:rsid w:val="0053730B"/>
    <w:rsid w:val="00537E4E"/>
    <w:rsid w:val="005537F8"/>
    <w:rsid w:val="00554FD4"/>
    <w:rsid w:val="005550E6"/>
    <w:rsid w:val="00555B56"/>
    <w:rsid w:val="0055678C"/>
    <w:rsid w:val="005636FA"/>
    <w:rsid w:val="00573B2A"/>
    <w:rsid w:val="00577EC0"/>
    <w:rsid w:val="00586A96"/>
    <w:rsid w:val="005913E9"/>
    <w:rsid w:val="00595B9D"/>
    <w:rsid w:val="00595E1F"/>
    <w:rsid w:val="005B364E"/>
    <w:rsid w:val="005C19B9"/>
    <w:rsid w:val="005C523E"/>
    <w:rsid w:val="005D7F03"/>
    <w:rsid w:val="005E548E"/>
    <w:rsid w:val="005F6243"/>
    <w:rsid w:val="005F7C83"/>
    <w:rsid w:val="00621861"/>
    <w:rsid w:val="00632790"/>
    <w:rsid w:val="00657119"/>
    <w:rsid w:val="006636A4"/>
    <w:rsid w:val="00664269"/>
    <w:rsid w:val="00676AA2"/>
    <w:rsid w:val="006877B4"/>
    <w:rsid w:val="006928C9"/>
    <w:rsid w:val="006949F3"/>
    <w:rsid w:val="00697334"/>
    <w:rsid w:val="006A4E17"/>
    <w:rsid w:val="006A5309"/>
    <w:rsid w:val="006B159B"/>
    <w:rsid w:val="006C0996"/>
    <w:rsid w:val="006C350A"/>
    <w:rsid w:val="006C640B"/>
    <w:rsid w:val="006D4E8D"/>
    <w:rsid w:val="006D5D22"/>
    <w:rsid w:val="006E73A1"/>
    <w:rsid w:val="006E74F1"/>
    <w:rsid w:val="006F4431"/>
    <w:rsid w:val="006F6E0F"/>
    <w:rsid w:val="007019DC"/>
    <w:rsid w:val="00701F10"/>
    <w:rsid w:val="00722C56"/>
    <w:rsid w:val="0072781A"/>
    <w:rsid w:val="00731EBB"/>
    <w:rsid w:val="007320B2"/>
    <w:rsid w:val="00741184"/>
    <w:rsid w:val="007419EB"/>
    <w:rsid w:val="00760140"/>
    <w:rsid w:val="007635F9"/>
    <w:rsid w:val="00765E89"/>
    <w:rsid w:val="00772E66"/>
    <w:rsid w:val="00786044"/>
    <w:rsid w:val="00792B95"/>
    <w:rsid w:val="007969C0"/>
    <w:rsid w:val="007A19AF"/>
    <w:rsid w:val="007A1D46"/>
    <w:rsid w:val="007A34C4"/>
    <w:rsid w:val="007A6627"/>
    <w:rsid w:val="007C19AA"/>
    <w:rsid w:val="007C19D7"/>
    <w:rsid w:val="007C1D60"/>
    <w:rsid w:val="007C312B"/>
    <w:rsid w:val="007C669E"/>
    <w:rsid w:val="007F3791"/>
    <w:rsid w:val="007F497A"/>
    <w:rsid w:val="00800E14"/>
    <w:rsid w:val="008343D7"/>
    <w:rsid w:val="00841973"/>
    <w:rsid w:val="00843326"/>
    <w:rsid w:val="00845420"/>
    <w:rsid w:val="00855B9F"/>
    <w:rsid w:val="00870EF6"/>
    <w:rsid w:val="00872127"/>
    <w:rsid w:val="008802B6"/>
    <w:rsid w:val="008839CF"/>
    <w:rsid w:val="0088710E"/>
    <w:rsid w:val="00890667"/>
    <w:rsid w:val="00895754"/>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285"/>
    <w:rsid w:val="0091270A"/>
    <w:rsid w:val="0091400C"/>
    <w:rsid w:val="00914687"/>
    <w:rsid w:val="00915170"/>
    <w:rsid w:val="00920163"/>
    <w:rsid w:val="009227EE"/>
    <w:rsid w:val="009416AE"/>
    <w:rsid w:val="009422B8"/>
    <w:rsid w:val="009426CD"/>
    <w:rsid w:val="009438A7"/>
    <w:rsid w:val="00947BA6"/>
    <w:rsid w:val="009653C8"/>
    <w:rsid w:val="00971FA9"/>
    <w:rsid w:val="009725D8"/>
    <w:rsid w:val="00982CBB"/>
    <w:rsid w:val="00983DAD"/>
    <w:rsid w:val="00985ACC"/>
    <w:rsid w:val="00985CDE"/>
    <w:rsid w:val="00993871"/>
    <w:rsid w:val="00996BCB"/>
    <w:rsid w:val="009B39B1"/>
    <w:rsid w:val="009B433E"/>
    <w:rsid w:val="009B6BE2"/>
    <w:rsid w:val="009B7116"/>
    <w:rsid w:val="009C162D"/>
    <w:rsid w:val="009C6D7B"/>
    <w:rsid w:val="009C7714"/>
    <w:rsid w:val="009E0EF0"/>
    <w:rsid w:val="009F140E"/>
    <w:rsid w:val="009F333D"/>
    <w:rsid w:val="00A00301"/>
    <w:rsid w:val="00A00E65"/>
    <w:rsid w:val="00A05DAC"/>
    <w:rsid w:val="00A07993"/>
    <w:rsid w:val="00A108F5"/>
    <w:rsid w:val="00A14E96"/>
    <w:rsid w:val="00A22B86"/>
    <w:rsid w:val="00A26AB9"/>
    <w:rsid w:val="00A26B35"/>
    <w:rsid w:val="00A3314E"/>
    <w:rsid w:val="00A35735"/>
    <w:rsid w:val="00A5336A"/>
    <w:rsid w:val="00A8339A"/>
    <w:rsid w:val="00A83D2C"/>
    <w:rsid w:val="00A8474C"/>
    <w:rsid w:val="00A9327F"/>
    <w:rsid w:val="00A96918"/>
    <w:rsid w:val="00A96FFE"/>
    <w:rsid w:val="00AA7BA7"/>
    <w:rsid w:val="00AB6707"/>
    <w:rsid w:val="00AC0E7B"/>
    <w:rsid w:val="00AC2E6D"/>
    <w:rsid w:val="00AE7BEA"/>
    <w:rsid w:val="00AE7F81"/>
    <w:rsid w:val="00AF0E4C"/>
    <w:rsid w:val="00B00F10"/>
    <w:rsid w:val="00B01332"/>
    <w:rsid w:val="00B0481C"/>
    <w:rsid w:val="00B2104D"/>
    <w:rsid w:val="00B226F2"/>
    <w:rsid w:val="00B267C7"/>
    <w:rsid w:val="00B30A91"/>
    <w:rsid w:val="00B3697E"/>
    <w:rsid w:val="00B70728"/>
    <w:rsid w:val="00B75112"/>
    <w:rsid w:val="00B81103"/>
    <w:rsid w:val="00B902FA"/>
    <w:rsid w:val="00B962CF"/>
    <w:rsid w:val="00BA697C"/>
    <w:rsid w:val="00BA7AE0"/>
    <w:rsid w:val="00BB02A0"/>
    <w:rsid w:val="00BB23CF"/>
    <w:rsid w:val="00BB37AC"/>
    <w:rsid w:val="00BC305B"/>
    <w:rsid w:val="00BC65E7"/>
    <w:rsid w:val="00BC76E9"/>
    <w:rsid w:val="00BD1690"/>
    <w:rsid w:val="00BE3E2D"/>
    <w:rsid w:val="00C06DF8"/>
    <w:rsid w:val="00C12F38"/>
    <w:rsid w:val="00C23C6B"/>
    <w:rsid w:val="00C255CE"/>
    <w:rsid w:val="00C512FC"/>
    <w:rsid w:val="00C52B72"/>
    <w:rsid w:val="00C65388"/>
    <w:rsid w:val="00C74FA9"/>
    <w:rsid w:val="00C760CD"/>
    <w:rsid w:val="00C76228"/>
    <w:rsid w:val="00C96FA0"/>
    <w:rsid w:val="00CA103B"/>
    <w:rsid w:val="00CA1E91"/>
    <w:rsid w:val="00CA250D"/>
    <w:rsid w:val="00CA4D7C"/>
    <w:rsid w:val="00CA7482"/>
    <w:rsid w:val="00CC4A28"/>
    <w:rsid w:val="00CD0F80"/>
    <w:rsid w:val="00CD4A33"/>
    <w:rsid w:val="00CE207A"/>
    <w:rsid w:val="00CE253C"/>
    <w:rsid w:val="00CE459B"/>
    <w:rsid w:val="00CE4660"/>
    <w:rsid w:val="00CF48C2"/>
    <w:rsid w:val="00D02291"/>
    <w:rsid w:val="00D04FB9"/>
    <w:rsid w:val="00D05A85"/>
    <w:rsid w:val="00D06A14"/>
    <w:rsid w:val="00D07FF9"/>
    <w:rsid w:val="00D144CA"/>
    <w:rsid w:val="00D170D1"/>
    <w:rsid w:val="00D2098C"/>
    <w:rsid w:val="00D20FA5"/>
    <w:rsid w:val="00D23363"/>
    <w:rsid w:val="00D23529"/>
    <w:rsid w:val="00D33EE5"/>
    <w:rsid w:val="00D33F86"/>
    <w:rsid w:val="00D40796"/>
    <w:rsid w:val="00D417E1"/>
    <w:rsid w:val="00D430DF"/>
    <w:rsid w:val="00D44DD9"/>
    <w:rsid w:val="00D46CBA"/>
    <w:rsid w:val="00D54079"/>
    <w:rsid w:val="00D549E0"/>
    <w:rsid w:val="00D557E5"/>
    <w:rsid w:val="00D60A2F"/>
    <w:rsid w:val="00D65397"/>
    <w:rsid w:val="00D6655E"/>
    <w:rsid w:val="00D677E7"/>
    <w:rsid w:val="00D70381"/>
    <w:rsid w:val="00D71DD8"/>
    <w:rsid w:val="00D74366"/>
    <w:rsid w:val="00D83636"/>
    <w:rsid w:val="00D840C3"/>
    <w:rsid w:val="00D91BBD"/>
    <w:rsid w:val="00D93BDB"/>
    <w:rsid w:val="00DA5CEF"/>
    <w:rsid w:val="00DB107B"/>
    <w:rsid w:val="00DB7CC5"/>
    <w:rsid w:val="00DC1095"/>
    <w:rsid w:val="00DC1455"/>
    <w:rsid w:val="00DC2219"/>
    <w:rsid w:val="00DD1B7E"/>
    <w:rsid w:val="00DD6B7F"/>
    <w:rsid w:val="00DF069E"/>
    <w:rsid w:val="00DF2C68"/>
    <w:rsid w:val="00E00F46"/>
    <w:rsid w:val="00E058E4"/>
    <w:rsid w:val="00E10E58"/>
    <w:rsid w:val="00E116DF"/>
    <w:rsid w:val="00E123C5"/>
    <w:rsid w:val="00E15970"/>
    <w:rsid w:val="00E51257"/>
    <w:rsid w:val="00E614F2"/>
    <w:rsid w:val="00E75290"/>
    <w:rsid w:val="00E803DC"/>
    <w:rsid w:val="00E913E2"/>
    <w:rsid w:val="00EA5DFF"/>
    <w:rsid w:val="00EA76F3"/>
    <w:rsid w:val="00EB32D4"/>
    <w:rsid w:val="00EB47E7"/>
    <w:rsid w:val="00EB53BE"/>
    <w:rsid w:val="00EB5DEB"/>
    <w:rsid w:val="00EB7936"/>
    <w:rsid w:val="00EC0F42"/>
    <w:rsid w:val="00EC4C56"/>
    <w:rsid w:val="00EC65E3"/>
    <w:rsid w:val="00ED148D"/>
    <w:rsid w:val="00ED2338"/>
    <w:rsid w:val="00EE229B"/>
    <w:rsid w:val="00EE7B55"/>
    <w:rsid w:val="00EF3860"/>
    <w:rsid w:val="00EF669D"/>
    <w:rsid w:val="00F064C2"/>
    <w:rsid w:val="00F14190"/>
    <w:rsid w:val="00F144D9"/>
    <w:rsid w:val="00F2402F"/>
    <w:rsid w:val="00F3117E"/>
    <w:rsid w:val="00F338AF"/>
    <w:rsid w:val="00F34A5F"/>
    <w:rsid w:val="00F361D2"/>
    <w:rsid w:val="00F43004"/>
    <w:rsid w:val="00F50A25"/>
    <w:rsid w:val="00F50D86"/>
    <w:rsid w:val="00F53EA7"/>
    <w:rsid w:val="00F56E96"/>
    <w:rsid w:val="00F606E4"/>
    <w:rsid w:val="00F76C6A"/>
    <w:rsid w:val="00F86132"/>
    <w:rsid w:val="00F876FB"/>
    <w:rsid w:val="00FA3CE9"/>
    <w:rsid w:val="00FA6E90"/>
    <w:rsid w:val="00FB0C8A"/>
    <w:rsid w:val="00FB39C9"/>
    <w:rsid w:val="00FB6E23"/>
    <w:rsid w:val="00FB7FAE"/>
    <w:rsid w:val="00FE78B4"/>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7A9D-53DE-491E-9749-26A8E6BF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5323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2016-01-17T18:09:00Z</cp:lastPrinted>
  <dcterms:created xsi:type="dcterms:W3CDTF">2016-01-22T16:30:00Z</dcterms:created>
  <dcterms:modified xsi:type="dcterms:W3CDTF">2016-01-22T16:32:00Z</dcterms:modified>
</cp:coreProperties>
</file>