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C9" w:rsidRPr="007320B2" w:rsidRDefault="00985CDE" w:rsidP="007320B2">
      <w:pPr>
        <w:pStyle w:val="Style1"/>
        <w:kinsoku w:val="0"/>
        <w:autoSpaceDE/>
        <w:autoSpaceDN/>
        <w:adjustRightInd/>
        <w:spacing w:before="144" w:line="360" w:lineRule="auto"/>
        <w:ind w:right="-1"/>
        <w:jc w:val="both"/>
        <w:rPr>
          <w:rFonts w:ascii="Arial" w:hAnsi="Arial" w:cs="Arial"/>
          <w:sz w:val="24"/>
          <w:szCs w:val="24"/>
        </w:rPr>
      </w:pPr>
      <w:r>
        <w:rPr>
          <w:rStyle w:val="CharacterStyle2"/>
          <w:rFonts w:ascii="Arial" w:hAnsi="Arial" w:cs="Arial"/>
          <w:sz w:val="24"/>
          <w:szCs w:val="24"/>
        </w:rPr>
        <w:t xml:space="preserve">El vencimiento anticipado es abusivo. </w:t>
      </w:r>
      <w:r w:rsidR="007320B2" w:rsidRPr="007320B2">
        <w:rPr>
          <w:rStyle w:val="CharacterStyle2"/>
          <w:rFonts w:ascii="Arial" w:hAnsi="Arial" w:cs="Arial"/>
          <w:sz w:val="24"/>
          <w:szCs w:val="24"/>
        </w:rPr>
        <w:t xml:space="preserve">El Tribunal Supremo </w:t>
      </w:r>
      <w:r w:rsidR="00FB39C9" w:rsidRPr="007320B2">
        <w:rPr>
          <w:rFonts w:ascii="Arial" w:hAnsi="Arial" w:cs="Arial"/>
          <w:sz w:val="24"/>
          <w:szCs w:val="24"/>
        </w:rPr>
        <w:t xml:space="preserve"> precisa los efectos de la declaración como abusiva de las cláusulas de vencimiento anticipado de los contratos de préstamo hipotecario</w:t>
      </w:r>
      <w:r w:rsidR="007320B2">
        <w:rPr>
          <w:rFonts w:ascii="Arial" w:hAnsi="Arial" w:cs="Arial"/>
          <w:sz w:val="24"/>
          <w:szCs w:val="24"/>
        </w:rPr>
        <w:t>.</w:t>
      </w:r>
    </w:p>
    <w:p w:rsidR="00FB39C9" w:rsidRPr="007320B2" w:rsidRDefault="00FB39C9" w:rsidP="007320B2">
      <w:pPr>
        <w:ind w:right="-1"/>
        <w:jc w:val="both"/>
        <w:rPr>
          <w:rFonts w:ascii="Arial" w:hAnsi="Arial" w:cs="Arial"/>
        </w:rPr>
      </w:pPr>
    </w:p>
    <w:p w:rsidR="00FB39C9" w:rsidRPr="007320B2" w:rsidRDefault="00FB39C9" w:rsidP="007320B2">
      <w:pPr>
        <w:ind w:right="-1"/>
        <w:jc w:val="both"/>
        <w:rPr>
          <w:rFonts w:ascii="Arial" w:hAnsi="Arial" w:cs="Arial"/>
        </w:rPr>
      </w:pPr>
    </w:p>
    <w:p w:rsidR="00FB39C9" w:rsidRPr="007320B2" w:rsidRDefault="00FB39C9" w:rsidP="007320B2">
      <w:pPr>
        <w:ind w:right="-1"/>
        <w:jc w:val="both"/>
        <w:rPr>
          <w:rFonts w:ascii="Arial" w:hAnsi="Arial" w:cs="Arial"/>
        </w:rPr>
      </w:pPr>
      <w:r w:rsidRPr="007320B2">
        <w:rPr>
          <w:rFonts w:ascii="Arial" w:hAnsi="Arial" w:cs="Arial"/>
        </w:rPr>
        <w:t>La Sala Primera del TS ha dictado una sentencia de fecha 23 de diciembre de 2015 (sentencia número 705/2015, ponente: señor Vela Torres), en la reitera y aclara su doctrina sobre la declaración de nulidad de las cláusulas de los préstamos hipotecarios consideradas abusivas.</w:t>
      </w:r>
    </w:p>
    <w:p w:rsidR="00FB39C9" w:rsidRPr="007320B2" w:rsidRDefault="00FB39C9" w:rsidP="007320B2">
      <w:pPr>
        <w:ind w:right="-1"/>
        <w:jc w:val="both"/>
        <w:rPr>
          <w:rFonts w:ascii="Arial" w:hAnsi="Arial" w:cs="Arial"/>
        </w:rPr>
      </w:pPr>
    </w:p>
    <w:p w:rsidR="00FB39C9" w:rsidRPr="007320B2" w:rsidRDefault="00FB39C9" w:rsidP="007320B2">
      <w:pPr>
        <w:ind w:right="-1"/>
        <w:jc w:val="both"/>
        <w:rPr>
          <w:rFonts w:ascii="Arial" w:hAnsi="Arial" w:cs="Arial"/>
        </w:rPr>
      </w:pPr>
      <w:r w:rsidRPr="007320B2">
        <w:rPr>
          <w:rFonts w:ascii="Arial" w:hAnsi="Arial" w:cs="Arial"/>
        </w:rPr>
        <w:t>Y lo hace en una extensa y detallada sentencia por la que desestima el recurso interpuesto por dos entidades bancarias, con la sentencia de la AP Madrid de 26 de julio de 2013, en el que se estimaba parcialmente una acción colectiva interpuesta por la OCU en la que solicitaba la nulidad de múltiples cláusulas en diversos contratos bancarios de dichas entidades.</w:t>
      </w:r>
    </w:p>
    <w:p w:rsidR="00FB39C9" w:rsidRPr="007320B2" w:rsidRDefault="00FB39C9" w:rsidP="007320B2">
      <w:pPr>
        <w:ind w:right="-1"/>
        <w:jc w:val="both"/>
        <w:rPr>
          <w:rFonts w:ascii="Arial" w:hAnsi="Arial" w:cs="Arial"/>
        </w:rPr>
      </w:pPr>
    </w:p>
    <w:p w:rsidR="00FB39C9" w:rsidRPr="007320B2" w:rsidRDefault="00FB39C9" w:rsidP="007320B2">
      <w:pPr>
        <w:ind w:right="-1"/>
        <w:jc w:val="both"/>
        <w:rPr>
          <w:rFonts w:ascii="Arial" w:hAnsi="Arial" w:cs="Arial"/>
        </w:rPr>
      </w:pPr>
      <w:r w:rsidRPr="007320B2">
        <w:rPr>
          <w:rFonts w:ascii="Arial" w:hAnsi="Arial" w:cs="Arial"/>
        </w:rPr>
        <w:t xml:space="preserve">Entre otras cosas, la Sala sostiene que la validez general de las cláusulas de vencimiento anticipado no excluye la posibilidad de que sean consideradas abusivas, y por tanto, nulas, atendiendo a las circunstancias del caso, en la forma explicada por el TJUE en la sentencia de 14 de marzo de 2013 (asunto </w:t>
      </w:r>
      <w:proofErr w:type="spellStart"/>
      <w:r w:rsidRPr="007320B2">
        <w:rPr>
          <w:rFonts w:ascii="Arial" w:hAnsi="Arial" w:cs="Arial"/>
        </w:rPr>
        <w:t>Aziz</w:t>
      </w:r>
      <w:proofErr w:type="spellEnd"/>
      <w:r w:rsidRPr="007320B2">
        <w:rPr>
          <w:rFonts w:ascii="Arial" w:hAnsi="Arial" w:cs="Arial"/>
        </w:rPr>
        <w:t>).</w:t>
      </w:r>
    </w:p>
    <w:p w:rsidR="00FB39C9" w:rsidRPr="007320B2" w:rsidRDefault="00FB39C9" w:rsidP="007320B2">
      <w:pPr>
        <w:ind w:right="-1"/>
        <w:jc w:val="both"/>
        <w:rPr>
          <w:rFonts w:ascii="Arial" w:hAnsi="Arial" w:cs="Arial"/>
        </w:rPr>
      </w:pPr>
    </w:p>
    <w:p w:rsidR="00FB39C9" w:rsidRPr="007320B2" w:rsidRDefault="00FB39C9" w:rsidP="007320B2">
      <w:pPr>
        <w:ind w:right="-1"/>
        <w:jc w:val="both"/>
        <w:rPr>
          <w:rFonts w:ascii="Arial" w:hAnsi="Arial" w:cs="Arial"/>
        </w:rPr>
      </w:pPr>
      <w:r w:rsidRPr="007320B2">
        <w:rPr>
          <w:rFonts w:ascii="Arial" w:hAnsi="Arial" w:cs="Arial"/>
        </w:rPr>
        <w:t>Por ello estima que la nulidad de la cláusula de vencimiento anticipado prevista por uno de dichos contratos, al no superar los estándares exigibles, pues no modula la gravedad del incumplimiento en función de la duración y cuantía del préstamo, no permite al consumidor evitar su aplicación mediante una conducta diligente de reparación y posibilita la resolución del préstamo por el incumplimiento de un solo plazo, incluso parcial.</w:t>
      </w:r>
    </w:p>
    <w:p w:rsidR="00FB39C9" w:rsidRPr="007320B2" w:rsidRDefault="00FB39C9" w:rsidP="007320B2">
      <w:pPr>
        <w:ind w:right="-1"/>
        <w:jc w:val="both"/>
        <w:rPr>
          <w:rFonts w:ascii="Arial" w:hAnsi="Arial" w:cs="Arial"/>
        </w:rPr>
      </w:pPr>
      <w:r w:rsidRPr="007320B2">
        <w:rPr>
          <w:rFonts w:ascii="Arial" w:hAnsi="Arial" w:cs="Arial"/>
        </w:rPr>
        <w:t>Efectos de la declaración de una cláusula como abusiva</w:t>
      </w:r>
    </w:p>
    <w:p w:rsidR="00FB39C9" w:rsidRPr="007320B2" w:rsidRDefault="00FB39C9" w:rsidP="007320B2">
      <w:pPr>
        <w:ind w:right="-1"/>
        <w:jc w:val="both"/>
        <w:rPr>
          <w:rFonts w:ascii="Arial" w:hAnsi="Arial" w:cs="Arial"/>
        </w:rPr>
      </w:pPr>
    </w:p>
    <w:p w:rsidR="00FB39C9" w:rsidRPr="007320B2" w:rsidRDefault="00FB39C9" w:rsidP="007320B2">
      <w:pPr>
        <w:ind w:right="-1"/>
        <w:jc w:val="both"/>
        <w:rPr>
          <w:rFonts w:ascii="Arial" w:hAnsi="Arial" w:cs="Arial"/>
        </w:rPr>
      </w:pPr>
      <w:r w:rsidRPr="007320B2">
        <w:rPr>
          <w:rFonts w:ascii="Arial" w:hAnsi="Arial" w:cs="Arial"/>
        </w:rPr>
        <w:t xml:space="preserve">Sobre los efectos de la </w:t>
      </w:r>
      <w:proofErr w:type="spellStart"/>
      <w:r w:rsidRPr="007320B2">
        <w:rPr>
          <w:rFonts w:ascii="Arial" w:hAnsi="Arial" w:cs="Arial"/>
        </w:rPr>
        <w:t>abusividad</w:t>
      </w:r>
      <w:proofErr w:type="spellEnd"/>
      <w:r w:rsidRPr="007320B2">
        <w:rPr>
          <w:rFonts w:ascii="Arial" w:hAnsi="Arial" w:cs="Arial"/>
        </w:rPr>
        <w:t>, la sentencia razona que la nulidad de la cláusula no siempre conllevará el sobreseimiento de la ejecución hipotecaria. La tutela de los consumidores aconseja evitar interpretaciones maximalistas que, bajo una apariencia de máxima protección, tengan como consecuencia paradójica la restricción del acceso al crédito hipotecario y, derivadamente, a la adquisición de vivienda en propiedad. El mismo principio de equilibrio en las prestaciones que ha de presidir la interpretación de la cláusula del vencimiento anticipado revela lo inadecuado de obligar a las entidades prestamistas, ante comportamientos de flagrante morosidad, a acudir en exclusiva al procedimiento declarativo para obtener la resolución del préstamo, con cierre de la vía ejecutiva especial legalmente prevista.</w:t>
      </w:r>
    </w:p>
    <w:p w:rsidR="00FB39C9" w:rsidRPr="007320B2" w:rsidRDefault="00FB39C9" w:rsidP="007320B2">
      <w:pPr>
        <w:ind w:right="-1"/>
        <w:jc w:val="both"/>
        <w:rPr>
          <w:rFonts w:ascii="Arial" w:hAnsi="Arial" w:cs="Arial"/>
        </w:rPr>
      </w:pPr>
    </w:p>
    <w:p w:rsidR="00FB39C9" w:rsidRPr="007320B2" w:rsidRDefault="00FB39C9" w:rsidP="007320B2">
      <w:pPr>
        <w:ind w:right="-1"/>
        <w:jc w:val="both"/>
        <w:rPr>
          <w:rFonts w:ascii="Arial" w:hAnsi="Arial" w:cs="Arial"/>
        </w:rPr>
      </w:pPr>
      <w:r w:rsidRPr="007320B2">
        <w:rPr>
          <w:rFonts w:ascii="Arial" w:hAnsi="Arial" w:cs="Arial"/>
        </w:rPr>
        <w:lastRenderedPageBreak/>
        <w:t>Si la nulidad del vencimiento anticipado conllevara el cierre del proceso ejecutivo incluso en los supuestos en que la gravedad del incumplimiento justificara el ejercicio de la acción hipotecaria, se privaría al deudor de las especiales ventajas que contiene este tipo de procedimiento, como la fijación de un límite de tasación para la subasta (75% de la tasación del préstamo), las posibilidades de liberar la vivienda, la facultad de rehabilitar el contrato o la liberación de responsabilidad para el caso de adjudicación de la vivienda habitual hipotecada cuando el precio obtenido en la subasta fuera insuficiente para pagar la deuda.</w:t>
      </w:r>
    </w:p>
    <w:p w:rsidR="00FB39C9" w:rsidRPr="007320B2" w:rsidRDefault="00FB39C9" w:rsidP="007320B2">
      <w:pPr>
        <w:ind w:right="-1"/>
        <w:jc w:val="both"/>
        <w:rPr>
          <w:rFonts w:ascii="Arial" w:hAnsi="Arial" w:cs="Arial"/>
        </w:rPr>
      </w:pPr>
    </w:p>
    <w:p w:rsidR="00FB39C9" w:rsidRPr="007320B2" w:rsidRDefault="00FB39C9" w:rsidP="007320B2">
      <w:pPr>
        <w:ind w:right="-1"/>
        <w:jc w:val="both"/>
        <w:rPr>
          <w:rFonts w:ascii="Arial" w:hAnsi="Arial" w:cs="Arial"/>
        </w:rPr>
      </w:pPr>
      <w:r w:rsidRPr="007320B2">
        <w:rPr>
          <w:rFonts w:ascii="Arial" w:hAnsi="Arial" w:cs="Arial"/>
        </w:rPr>
        <w:t>La nulidad de la cláusula sí puede producir el sobreseimiento de la ejecución si se dan las condiciones mínimas establecidas en la Ley de Enjuiciamiento Civil (el impago de tres plazos mensuales o un número de cuotas equivalente) y el tribunal valora además, en el caso concreto, que el ejercicio de la facultad de vencimiento anticipado no está justificado en función de los criterios fijados por el TJUE: carácter esencial y no secundario de la obligación incumplida, importe impagado en relación con la cuantía y duración del préstamo y la posibilidad real que el consumidor haya tenido de evitar la consecuencia del vencimiento anticipado.</w:t>
      </w:r>
    </w:p>
    <w:p w:rsidR="00FB39C9" w:rsidRPr="007320B2" w:rsidRDefault="00FB39C9" w:rsidP="007320B2">
      <w:pPr>
        <w:ind w:right="-1"/>
        <w:jc w:val="both"/>
        <w:rPr>
          <w:rFonts w:ascii="Arial" w:hAnsi="Arial" w:cs="Arial"/>
        </w:rPr>
      </w:pPr>
      <w:r w:rsidRPr="007320B2">
        <w:rPr>
          <w:rFonts w:ascii="Arial" w:hAnsi="Arial" w:cs="Arial"/>
        </w:rPr>
        <w:t>Imposición al consumidor de todos los costes del contrato</w:t>
      </w:r>
    </w:p>
    <w:p w:rsidR="00FB39C9" w:rsidRPr="007320B2" w:rsidRDefault="00FB39C9" w:rsidP="007320B2">
      <w:pPr>
        <w:ind w:right="-1"/>
        <w:jc w:val="both"/>
        <w:rPr>
          <w:rFonts w:ascii="Arial" w:hAnsi="Arial" w:cs="Arial"/>
        </w:rPr>
      </w:pPr>
    </w:p>
    <w:p w:rsidR="00FB39C9" w:rsidRPr="007320B2" w:rsidRDefault="00FB39C9" w:rsidP="007320B2">
      <w:pPr>
        <w:ind w:right="-1"/>
        <w:jc w:val="both"/>
        <w:rPr>
          <w:rFonts w:ascii="Arial" w:hAnsi="Arial" w:cs="Arial"/>
        </w:rPr>
      </w:pPr>
      <w:r w:rsidRPr="007320B2">
        <w:rPr>
          <w:rFonts w:ascii="Arial" w:hAnsi="Arial" w:cs="Arial"/>
        </w:rPr>
        <w:t>La sentencia también considera nulas las cláusulas que imponen al consumidor todos los costes derivados de la concertación del contrato como consecuencia de la intervención notarial y registral y el pago de los tributos en los que el sujeto pasivo es el banco, como sucede en determinados hechos imponibles del Impuesto de Actos Jurídicos Documentados.</w:t>
      </w:r>
    </w:p>
    <w:p w:rsidR="00FB39C9" w:rsidRPr="007320B2" w:rsidRDefault="00FB39C9" w:rsidP="007320B2">
      <w:pPr>
        <w:ind w:right="-1"/>
        <w:jc w:val="both"/>
        <w:rPr>
          <w:rFonts w:ascii="Arial" w:hAnsi="Arial" w:cs="Arial"/>
        </w:rPr>
      </w:pPr>
    </w:p>
    <w:p w:rsidR="00FB39C9" w:rsidRPr="007320B2" w:rsidRDefault="00FB39C9" w:rsidP="007320B2">
      <w:pPr>
        <w:ind w:right="-1"/>
        <w:jc w:val="both"/>
        <w:rPr>
          <w:rFonts w:ascii="Arial" w:hAnsi="Arial" w:cs="Arial"/>
        </w:rPr>
      </w:pPr>
      <w:r w:rsidRPr="007320B2">
        <w:rPr>
          <w:rFonts w:ascii="Arial" w:hAnsi="Arial" w:cs="Arial"/>
        </w:rPr>
        <w:t>Otras cláusulas consideradas nulas son las que imponen al consumidor el pago de los gastos pre-procesales, procesales o de honorarios de abogado y procurador contratados por la entidad prestamista, en casos de incumplimiento de su obligación de pago; las que impiden al prestatario variar el destino del inmueble sin la autorización expresa del banco; y las que equiparan la aceptación por el cliente de una oferta telefónica a su firma manuscrita y a la asunción de las condiciones particulares del contrato.</w:t>
      </w:r>
    </w:p>
    <w:p w:rsidR="00FB39C9" w:rsidRPr="007320B2" w:rsidRDefault="00FB39C9" w:rsidP="007320B2">
      <w:pPr>
        <w:ind w:right="-1"/>
        <w:jc w:val="both"/>
        <w:rPr>
          <w:rFonts w:ascii="Arial" w:hAnsi="Arial" w:cs="Arial"/>
        </w:rPr>
      </w:pPr>
      <w:r w:rsidRPr="007320B2">
        <w:rPr>
          <w:rFonts w:ascii="Arial" w:hAnsi="Arial" w:cs="Arial"/>
        </w:rPr>
        <w:t>Intereses de demora</w:t>
      </w:r>
    </w:p>
    <w:p w:rsidR="00FB39C9" w:rsidRPr="007320B2" w:rsidRDefault="00FB39C9" w:rsidP="007320B2">
      <w:pPr>
        <w:ind w:right="-1"/>
        <w:jc w:val="both"/>
        <w:rPr>
          <w:rFonts w:ascii="Arial" w:hAnsi="Arial" w:cs="Arial"/>
        </w:rPr>
      </w:pPr>
    </w:p>
    <w:p w:rsidR="00FB39C9" w:rsidRPr="007320B2" w:rsidRDefault="00FB39C9" w:rsidP="007320B2">
      <w:pPr>
        <w:ind w:right="-1"/>
        <w:jc w:val="both"/>
        <w:rPr>
          <w:rFonts w:ascii="Arial" w:hAnsi="Arial" w:cs="Arial"/>
        </w:rPr>
      </w:pPr>
      <w:r w:rsidRPr="007320B2">
        <w:rPr>
          <w:rFonts w:ascii="Arial" w:hAnsi="Arial" w:cs="Arial"/>
        </w:rPr>
        <w:t>En materia de interés de demora, la sentencia mantiene la declaración de nulidad por abusivo del tipo fijado en el préstamo hipotecario  al 19% y, aplicando el mismo criterio establecido para los préstamos personales, considera que la nulidad afectará al exceso respecto del interés remuneratorio pactado.</w:t>
      </w:r>
    </w:p>
    <w:p w:rsidR="00FB39C9" w:rsidRPr="007320B2" w:rsidRDefault="00FB39C9" w:rsidP="007320B2">
      <w:pPr>
        <w:ind w:right="-1"/>
        <w:jc w:val="both"/>
        <w:rPr>
          <w:rFonts w:ascii="Arial" w:hAnsi="Arial" w:cs="Arial"/>
        </w:rPr>
      </w:pPr>
    </w:p>
    <w:p w:rsidR="00FB39C9" w:rsidRPr="007320B2" w:rsidRDefault="00FB39C9" w:rsidP="007320B2">
      <w:pPr>
        <w:ind w:right="-1"/>
        <w:jc w:val="both"/>
        <w:rPr>
          <w:rFonts w:ascii="Arial" w:hAnsi="Arial" w:cs="Arial"/>
        </w:rPr>
      </w:pPr>
      <w:r w:rsidRPr="007320B2">
        <w:rPr>
          <w:rFonts w:ascii="Arial" w:hAnsi="Arial" w:cs="Arial"/>
        </w:rPr>
        <w:t xml:space="preserve">La sentencia cuenta con un voto particular concurrente del Magistrado señor Orduña Moreno, que, sin cuestionar el fallo, expresa su discrepancia sobre las </w:t>
      </w:r>
      <w:r w:rsidRPr="007320B2">
        <w:rPr>
          <w:rFonts w:ascii="Arial" w:hAnsi="Arial" w:cs="Arial"/>
        </w:rPr>
        <w:lastRenderedPageBreak/>
        <w:t xml:space="preserve">consecuencias de la </w:t>
      </w:r>
      <w:proofErr w:type="spellStart"/>
      <w:r w:rsidRPr="007320B2">
        <w:rPr>
          <w:rFonts w:ascii="Arial" w:hAnsi="Arial" w:cs="Arial"/>
        </w:rPr>
        <w:t>abusividad</w:t>
      </w:r>
      <w:proofErr w:type="spellEnd"/>
      <w:r w:rsidRPr="007320B2">
        <w:rPr>
          <w:rFonts w:ascii="Arial" w:hAnsi="Arial" w:cs="Arial"/>
        </w:rPr>
        <w:t xml:space="preserve"> del vencimiento anticipado y sus efectos sobre el proceso de ejecución hipotecaria que, en su opinión, debería ser siempre sobreseído.</w:t>
      </w:r>
    </w:p>
    <w:p w:rsidR="00CE459B" w:rsidRPr="007320B2" w:rsidRDefault="00CE459B" w:rsidP="007320B2">
      <w:pPr>
        <w:pStyle w:val="Style6"/>
        <w:kinsoku w:val="0"/>
        <w:autoSpaceDE/>
        <w:autoSpaceDN/>
        <w:spacing w:after="0" w:line="360" w:lineRule="auto"/>
        <w:ind w:right="-1"/>
        <w:rPr>
          <w:rStyle w:val="CharacterStyle1"/>
          <w:w w:val="105"/>
          <w:sz w:val="24"/>
          <w:szCs w:val="24"/>
        </w:rPr>
      </w:pPr>
    </w:p>
    <w:p w:rsidR="00E913E2" w:rsidRPr="007320B2" w:rsidRDefault="00E913E2" w:rsidP="007320B2">
      <w:pPr>
        <w:shd w:val="clear" w:color="auto" w:fill="FFFFFF"/>
        <w:spacing w:before="100" w:beforeAutospacing="1" w:after="240" w:line="360" w:lineRule="auto"/>
        <w:ind w:right="-1"/>
        <w:jc w:val="both"/>
        <w:rPr>
          <w:rFonts w:ascii="Arial" w:hAnsi="Arial" w:cs="Arial"/>
        </w:rPr>
      </w:pPr>
    </w:p>
    <w:p w:rsidR="00FF6DED" w:rsidRDefault="00FF6DED" w:rsidP="007320B2">
      <w:pPr>
        <w:shd w:val="clear" w:color="auto" w:fill="FFFFFF"/>
        <w:spacing w:before="100" w:beforeAutospacing="1" w:after="240" w:line="360" w:lineRule="auto"/>
        <w:ind w:right="-1"/>
        <w:jc w:val="both"/>
        <w:rPr>
          <w:rFonts w:ascii="Arial" w:hAnsi="Arial" w:cs="Arial"/>
        </w:rPr>
      </w:pPr>
    </w:p>
    <w:p w:rsidR="00040D42" w:rsidRDefault="00040D42" w:rsidP="007320B2">
      <w:pPr>
        <w:shd w:val="clear" w:color="auto" w:fill="FFFFFF"/>
        <w:spacing w:before="100" w:beforeAutospacing="1" w:after="240" w:line="360" w:lineRule="auto"/>
        <w:ind w:right="-1"/>
        <w:jc w:val="both"/>
        <w:rPr>
          <w:rFonts w:ascii="Arial" w:hAnsi="Arial" w:cs="Arial"/>
        </w:rPr>
      </w:pPr>
    </w:p>
    <w:p w:rsidR="00040D42" w:rsidRDefault="00040D42" w:rsidP="007320B2">
      <w:pPr>
        <w:shd w:val="clear" w:color="auto" w:fill="FFFFFF"/>
        <w:spacing w:before="100" w:beforeAutospacing="1" w:after="240" w:line="360" w:lineRule="auto"/>
        <w:ind w:right="-1"/>
        <w:jc w:val="both"/>
        <w:rPr>
          <w:rFonts w:ascii="Arial" w:hAnsi="Arial" w:cs="Arial"/>
        </w:rPr>
      </w:pPr>
    </w:p>
    <w:p w:rsidR="00040D42" w:rsidRDefault="00040D42" w:rsidP="007320B2">
      <w:pPr>
        <w:shd w:val="clear" w:color="auto" w:fill="FFFFFF"/>
        <w:spacing w:before="100" w:beforeAutospacing="1" w:after="240" w:line="360" w:lineRule="auto"/>
        <w:ind w:right="-1"/>
        <w:jc w:val="both"/>
        <w:rPr>
          <w:rFonts w:ascii="Arial" w:hAnsi="Arial" w:cs="Arial"/>
        </w:rPr>
      </w:pPr>
    </w:p>
    <w:p w:rsidR="00040D42" w:rsidRDefault="00040D42" w:rsidP="007320B2">
      <w:pPr>
        <w:shd w:val="clear" w:color="auto" w:fill="FFFFFF"/>
        <w:spacing w:before="100" w:beforeAutospacing="1" w:after="240" w:line="360" w:lineRule="auto"/>
        <w:ind w:right="-1"/>
        <w:jc w:val="both"/>
        <w:rPr>
          <w:rFonts w:ascii="Arial" w:hAnsi="Arial" w:cs="Arial"/>
        </w:rPr>
      </w:pPr>
    </w:p>
    <w:p w:rsidR="00040D42" w:rsidRDefault="00040D42" w:rsidP="007320B2">
      <w:pPr>
        <w:shd w:val="clear" w:color="auto" w:fill="FFFFFF"/>
        <w:spacing w:before="100" w:beforeAutospacing="1" w:after="240" w:line="360" w:lineRule="auto"/>
        <w:ind w:right="-1"/>
        <w:jc w:val="both"/>
        <w:rPr>
          <w:rFonts w:ascii="Arial" w:hAnsi="Arial" w:cs="Arial"/>
        </w:rPr>
      </w:pPr>
    </w:p>
    <w:p w:rsidR="00040D42" w:rsidRDefault="00040D42" w:rsidP="007320B2">
      <w:pPr>
        <w:shd w:val="clear" w:color="auto" w:fill="FFFFFF"/>
        <w:spacing w:before="100" w:beforeAutospacing="1" w:after="240" w:line="360" w:lineRule="auto"/>
        <w:ind w:right="-1"/>
        <w:jc w:val="both"/>
        <w:rPr>
          <w:rFonts w:ascii="Arial" w:hAnsi="Arial" w:cs="Arial"/>
        </w:rPr>
      </w:pPr>
    </w:p>
    <w:p w:rsidR="00040D42" w:rsidRDefault="00040D42" w:rsidP="007320B2">
      <w:pPr>
        <w:shd w:val="clear" w:color="auto" w:fill="FFFFFF"/>
        <w:spacing w:before="100" w:beforeAutospacing="1" w:after="240" w:line="360" w:lineRule="auto"/>
        <w:ind w:right="-1"/>
        <w:jc w:val="both"/>
        <w:rPr>
          <w:rFonts w:ascii="Arial" w:hAnsi="Arial" w:cs="Arial"/>
        </w:rPr>
      </w:pPr>
    </w:p>
    <w:p w:rsidR="00040D42" w:rsidRDefault="00040D42" w:rsidP="007320B2">
      <w:pPr>
        <w:shd w:val="clear" w:color="auto" w:fill="FFFFFF"/>
        <w:spacing w:before="100" w:beforeAutospacing="1" w:after="240" w:line="360" w:lineRule="auto"/>
        <w:ind w:right="-1"/>
        <w:jc w:val="both"/>
        <w:rPr>
          <w:rFonts w:ascii="Arial" w:hAnsi="Arial" w:cs="Arial"/>
        </w:rPr>
      </w:pPr>
    </w:p>
    <w:p w:rsidR="00040D42" w:rsidRDefault="00040D42" w:rsidP="007320B2">
      <w:pPr>
        <w:shd w:val="clear" w:color="auto" w:fill="FFFFFF"/>
        <w:spacing w:before="100" w:beforeAutospacing="1" w:after="240" w:line="360" w:lineRule="auto"/>
        <w:ind w:right="-1"/>
        <w:jc w:val="both"/>
        <w:rPr>
          <w:rFonts w:ascii="Arial" w:hAnsi="Arial" w:cs="Arial"/>
        </w:rPr>
      </w:pPr>
    </w:p>
    <w:p w:rsidR="00040D42" w:rsidRDefault="00040D42" w:rsidP="007320B2">
      <w:pPr>
        <w:shd w:val="clear" w:color="auto" w:fill="FFFFFF"/>
        <w:spacing w:before="100" w:beforeAutospacing="1" w:after="240" w:line="360" w:lineRule="auto"/>
        <w:ind w:right="-1"/>
        <w:jc w:val="both"/>
        <w:rPr>
          <w:rFonts w:ascii="Arial" w:hAnsi="Arial" w:cs="Arial"/>
        </w:rPr>
      </w:pPr>
    </w:p>
    <w:p w:rsidR="00483D29" w:rsidRPr="007320B2" w:rsidRDefault="00483D29" w:rsidP="007320B2">
      <w:pPr>
        <w:spacing w:line="360" w:lineRule="auto"/>
        <w:ind w:right="-1"/>
        <w:jc w:val="both"/>
        <w:rPr>
          <w:rFonts w:ascii="Arial" w:hAnsi="Arial" w:cs="Arial"/>
        </w:rPr>
      </w:pPr>
    </w:p>
    <w:p w:rsidR="00D02291" w:rsidRPr="007320B2" w:rsidRDefault="00D02291" w:rsidP="00912285">
      <w:pPr>
        <w:spacing w:line="360" w:lineRule="auto"/>
        <w:ind w:right="-1"/>
        <w:jc w:val="both"/>
        <w:rPr>
          <w:rFonts w:ascii="Arial" w:hAnsi="Arial" w:cs="Arial"/>
        </w:rPr>
      </w:pPr>
    </w:p>
    <w:sectPr w:rsidR="00D02291" w:rsidRPr="007320B2" w:rsidSect="00F50D86">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85" w:rsidRDefault="00D05A85">
      <w:r>
        <w:separator/>
      </w:r>
    </w:p>
  </w:endnote>
  <w:endnote w:type="continuationSeparator" w:id="0">
    <w:p w:rsidR="00D05A85" w:rsidRDefault="00D05A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E466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E4660"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912285">
      <w:rPr>
        <w:rStyle w:val="Nmerodepgina"/>
        <w:noProof/>
      </w:rPr>
      <w:t>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85" w:rsidRDefault="00D05A85">
      <w:r>
        <w:separator/>
      </w:r>
    </w:p>
  </w:footnote>
  <w:footnote w:type="continuationSeparator" w:id="0">
    <w:p w:rsidR="00D05A85" w:rsidRDefault="00D05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E466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E4660"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E466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7"/>
  </w:num>
  <w:num w:numId="6">
    <w:abstractNumId w:val="3"/>
    <w:lvlOverride w:ilvl="0">
      <w:lvl w:ilvl="0">
        <w:numFmt w:val="decimal"/>
        <w:lvlText w:val="%1."/>
        <w:lvlJc w:val="left"/>
      </w:lvl>
    </w:lvlOverride>
  </w:num>
  <w:num w:numId="7">
    <w:abstractNumId w:val="2"/>
  </w:num>
  <w:num w:numId="8">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stylePaneFormatFilter w:val="3F01"/>
  <w:defaultTabStop w:val="708"/>
  <w:hyphenationZone w:val="425"/>
  <w:characterSpacingControl w:val="doNotCompress"/>
  <w:hdrShapeDefaults>
    <o:shapedefaults v:ext="edit" spidmax="10342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17DA5"/>
    <w:rsid w:val="00033922"/>
    <w:rsid w:val="00033CEB"/>
    <w:rsid w:val="000362A9"/>
    <w:rsid w:val="00040D42"/>
    <w:rsid w:val="00042584"/>
    <w:rsid w:val="000546BE"/>
    <w:rsid w:val="0005559E"/>
    <w:rsid w:val="000677B4"/>
    <w:rsid w:val="00067EEE"/>
    <w:rsid w:val="00077A88"/>
    <w:rsid w:val="000825EC"/>
    <w:rsid w:val="00083E4E"/>
    <w:rsid w:val="00086F28"/>
    <w:rsid w:val="0008738C"/>
    <w:rsid w:val="00096DA1"/>
    <w:rsid w:val="000A133F"/>
    <w:rsid w:val="000B30D9"/>
    <w:rsid w:val="000C2041"/>
    <w:rsid w:val="000C337E"/>
    <w:rsid w:val="000C47AE"/>
    <w:rsid w:val="000C4953"/>
    <w:rsid w:val="000D5D61"/>
    <w:rsid w:val="000F1749"/>
    <w:rsid w:val="0010060C"/>
    <w:rsid w:val="0010178D"/>
    <w:rsid w:val="001360FD"/>
    <w:rsid w:val="00140D3C"/>
    <w:rsid w:val="00142C8E"/>
    <w:rsid w:val="00145211"/>
    <w:rsid w:val="00146353"/>
    <w:rsid w:val="00162E93"/>
    <w:rsid w:val="00163318"/>
    <w:rsid w:val="0016353A"/>
    <w:rsid w:val="00165508"/>
    <w:rsid w:val="00170C4A"/>
    <w:rsid w:val="001765E7"/>
    <w:rsid w:val="001771E6"/>
    <w:rsid w:val="00181091"/>
    <w:rsid w:val="001829D4"/>
    <w:rsid w:val="001969A3"/>
    <w:rsid w:val="001A15CD"/>
    <w:rsid w:val="001A6D78"/>
    <w:rsid w:val="001C0F7E"/>
    <w:rsid w:val="001C6A86"/>
    <w:rsid w:val="001D7106"/>
    <w:rsid w:val="001E0A4E"/>
    <w:rsid w:val="001E0D97"/>
    <w:rsid w:val="001E5F6F"/>
    <w:rsid w:val="001F194A"/>
    <w:rsid w:val="00202275"/>
    <w:rsid w:val="00206865"/>
    <w:rsid w:val="00222D9D"/>
    <w:rsid w:val="00224282"/>
    <w:rsid w:val="00232DFC"/>
    <w:rsid w:val="00247F1A"/>
    <w:rsid w:val="002503E9"/>
    <w:rsid w:val="00250B2A"/>
    <w:rsid w:val="00255846"/>
    <w:rsid w:val="00267153"/>
    <w:rsid w:val="002744D4"/>
    <w:rsid w:val="002759CE"/>
    <w:rsid w:val="00283E8B"/>
    <w:rsid w:val="00284FAC"/>
    <w:rsid w:val="002A0150"/>
    <w:rsid w:val="002A2EE4"/>
    <w:rsid w:val="002A6352"/>
    <w:rsid w:val="002B268C"/>
    <w:rsid w:val="002B579C"/>
    <w:rsid w:val="002C2243"/>
    <w:rsid w:val="002D11AD"/>
    <w:rsid w:val="002D2ED2"/>
    <w:rsid w:val="002D32FE"/>
    <w:rsid w:val="002D50B8"/>
    <w:rsid w:val="002F6D88"/>
    <w:rsid w:val="002F7B53"/>
    <w:rsid w:val="00303BB2"/>
    <w:rsid w:val="003067DF"/>
    <w:rsid w:val="00320289"/>
    <w:rsid w:val="00323572"/>
    <w:rsid w:val="00323FC4"/>
    <w:rsid w:val="0032681D"/>
    <w:rsid w:val="00326C83"/>
    <w:rsid w:val="00332AC6"/>
    <w:rsid w:val="00332F1F"/>
    <w:rsid w:val="00357DD2"/>
    <w:rsid w:val="00361A96"/>
    <w:rsid w:val="0036668D"/>
    <w:rsid w:val="00373292"/>
    <w:rsid w:val="00374027"/>
    <w:rsid w:val="003A3123"/>
    <w:rsid w:val="003B5346"/>
    <w:rsid w:val="003D0308"/>
    <w:rsid w:val="003D1CE9"/>
    <w:rsid w:val="003D5A4F"/>
    <w:rsid w:val="003E2382"/>
    <w:rsid w:val="003E5D44"/>
    <w:rsid w:val="003E66C1"/>
    <w:rsid w:val="003E7310"/>
    <w:rsid w:val="003F11D6"/>
    <w:rsid w:val="003F6C38"/>
    <w:rsid w:val="004026DE"/>
    <w:rsid w:val="00403FB6"/>
    <w:rsid w:val="004069A0"/>
    <w:rsid w:val="00424E68"/>
    <w:rsid w:val="004310CD"/>
    <w:rsid w:val="0044211B"/>
    <w:rsid w:val="00445C86"/>
    <w:rsid w:val="00447A97"/>
    <w:rsid w:val="00447B6D"/>
    <w:rsid w:val="00450935"/>
    <w:rsid w:val="00453887"/>
    <w:rsid w:val="00464DB2"/>
    <w:rsid w:val="00470834"/>
    <w:rsid w:val="004712E1"/>
    <w:rsid w:val="0047172D"/>
    <w:rsid w:val="00472F61"/>
    <w:rsid w:val="00475782"/>
    <w:rsid w:val="0048064B"/>
    <w:rsid w:val="004813E1"/>
    <w:rsid w:val="0048268F"/>
    <w:rsid w:val="00483D29"/>
    <w:rsid w:val="004856E9"/>
    <w:rsid w:val="0048734A"/>
    <w:rsid w:val="004A2021"/>
    <w:rsid w:val="004A4482"/>
    <w:rsid w:val="004A6D3B"/>
    <w:rsid w:val="004B28BD"/>
    <w:rsid w:val="004C358F"/>
    <w:rsid w:val="004C4D7A"/>
    <w:rsid w:val="004C5EF2"/>
    <w:rsid w:val="004D231A"/>
    <w:rsid w:val="004D4741"/>
    <w:rsid w:val="004D4815"/>
    <w:rsid w:val="004D7C75"/>
    <w:rsid w:val="004E0928"/>
    <w:rsid w:val="004F1AE6"/>
    <w:rsid w:val="004F4321"/>
    <w:rsid w:val="004F7038"/>
    <w:rsid w:val="00502F2D"/>
    <w:rsid w:val="005111CB"/>
    <w:rsid w:val="00511F20"/>
    <w:rsid w:val="00530120"/>
    <w:rsid w:val="005310EF"/>
    <w:rsid w:val="005314CC"/>
    <w:rsid w:val="0053730B"/>
    <w:rsid w:val="00537E4E"/>
    <w:rsid w:val="005537F8"/>
    <w:rsid w:val="00554FD4"/>
    <w:rsid w:val="005550E6"/>
    <w:rsid w:val="00555B56"/>
    <w:rsid w:val="0055678C"/>
    <w:rsid w:val="005636FA"/>
    <w:rsid w:val="00573B2A"/>
    <w:rsid w:val="00577EC0"/>
    <w:rsid w:val="00586A96"/>
    <w:rsid w:val="005913E9"/>
    <w:rsid w:val="00595B9D"/>
    <w:rsid w:val="00595E1F"/>
    <w:rsid w:val="005B364E"/>
    <w:rsid w:val="005C19B9"/>
    <w:rsid w:val="005C523E"/>
    <w:rsid w:val="005D7F03"/>
    <w:rsid w:val="005E548E"/>
    <w:rsid w:val="005F6243"/>
    <w:rsid w:val="005F7C83"/>
    <w:rsid w:val="00621861"/>
    <w:rsid w:val="00632790"/>
    <w:rsid w:val="00657119"/>
    <w:rsid w:val="006636A4"/>
    <w:rsid w:val="00664269"/>
    <w:rsid w:val="00676AA2"/>
    <w:rsid w:val="006877B4"/>
    <w:rsid w:val="006928C9"/>
    <w:rsid w:val="006949F3"/>
    <w:rsid w:val="00697334"/>
    <w:rsid w:val="006A4E17"/>
    <w:rsid w:val="006A5309"/>
    <w:rsid w:val="006B159B"/>
    <w:rsid w:val="006C0996"/>
    <w:rsid w:val="006C350A"/>
    <w:rsid w:val="006C640B"/>
    <w:rsid w:val="006D4E8D"/>
    <w:rsid w:val="006D5D22"/>
    <w:rsid w:val="006E73A1"/>
    <w:rsid w:val="006E74F1"/>
    <w:rsid w:val="006F4431"/>
    <w:rsid w:val="006F6E0F"/>
    <w:rsid w:val="007019DC"/>
    <w:rsid w:val="00701F10"/>
    <w:rsid w:val="00722C56"/>
    <w:rsid w:val="0072781A"/>
    <w:rsid w:val="00731EBB"/>
    <w:rsid w:val="007320B2"/>
    <w:rsid w:val="00741184"/>
    <w:rsid w:val="007419EB"/>
    <w:rsid w:val="00760140"/>
    <w:rsid w:val="007635F9"/>
    <w:rsid w:val="00765E89"/>
    <w:rsid w:val="00772E66"/>
    <w:rsid w:val="00786044"/>
    <w:rsid w:val="00792B95"/>
    <w:rsid w:val="007969C0"/>
    <w:rsid w:val="007A19AF"/>
    <w:rsid w:val="007A1D46"/>
    <w:rsid w:val="007A34C4"/>
    <w:rsid w:val="007A6627"/>
    <w:rsid w:val="007C19AA"/>
    <w:rsid w:val="007C19D7"/>
    <w:rsid w:val="007C1D60"/>
    <w:rsid w:val="007C312B"/>
    <w:rsid w:val="007C669E"/>
    <w:rsid w:val="007F3791"/>
    <w:rsid w:val="007F497A"/>
    <w:rsid w:val="00800E14"/>
    <w:rsid w:val="008343D7"/>
    <w:rsid w:val="00841973"/>
    <w:rsid w:val="00843326"/>
    <w:rsid w:val="00845420"/>
    <w:rsid w:val="00855B9F"/>
    <w:rsid w:val="00870EF6"/>
    <w:rsid w:val="00872127"/>
    <w:rsid w:val="008802B6"/>
    <w:rsid w:val="008839CF"/>
    <w:rsid w:val="0088710E"/>
    <w:rsid w:val="00890667"/>
    <w:rsid w:val="00895754"/>
    <w:rsid w:val="008A7198"/>
    <w:rsid w:val="008B1379"/>
    <w:rsid w:val="008B271D"/>
    <w:rsid w:val="008B475A"/>
    <w:rsid w:val="008B6D39"/>
    <w:rsid w:val="008D740A"/>
    <w:rsid w:val="008E5B16"/>
    <w:rsid w:val="008E7057"/>
    <w:rsid w:val="008F00DE"/>
    <w:rsid w:val="008F15E4"/>
    <w:rsid w:val="008F30F8"/>
    <w:rsid w:val="008F4096"/>
    <w:rsid w:val="008F6439"/>
    <w:rsid w:val="0090382B"/>
    <w:rsid w:val="00911185"/>
    <w:rsid w:val="00911495"/>
    <w:rsid w:val="00911FEA"/>
    <w:rsid w:val="00912285"/>
    <w:rsid w:val="0091270A"/>
    <w:rsid w:val="0091400C"/>
    <w:rsid w:val="00914687"/>
    <w:rsid w:val="00915170"/>
    <w:rsid w:val="00920163"/>
    <w:rsid w:val="009227EE"/>
    <w:rsid w:val="009416AE"/>
    <w:rsid w:val="009422B8"/>
    <w:rsid w:val="009426CD"/>
    <w:rsid w:val="009438A7"/>
    <w:rsid w:val="00947BA6"/>
    <w:rsid w:val="009653C8"/>
    <w:rsid w:val="00971FA9"/>
    <w:rsid w:val="009725D8"/>
    <w:rsid w:val="00982CBB"/>
    <w:rsid w:val="00983DAD"/>
    <w:rsid w:val="00985ACC"/>
    <w:rsid w:val="00985CDE"/>
    <w:rsid w:val="00993871"/>
    <w:rsid w:val="00996BCB"/>
    <w:rsid w:val="009B39B1"/>
    <w:rsid w:val="009B433E"/>
    <w:rsid w:val="009B6BE2"/>
    <w:rsid w:val="009B7116"/>
    <w:rsid w:val="009C162D"/>
    <w:rsid w:val="009C6D7B"/>
    <w:rsid w:val="009C7714"/>
    <w:rsid w:val="009E0EF0"/>
    <w:rsid w:val="009F140E"/>
    <w:rsid w:val="009F333D"/>
    <w:rsid w:val="00A00301"/>
    <w:rsid w:val="00A00E65"/>
    <w:rsid w:val="00A05DAC"/>
    <w:rsid w:val="00A07993"/>
    <w:rsid w:val="00A108F5"/>
    <w:rsid w:val="00A14E96"/>
    <w:rsid w:val="00A22B86"/>
    <w:rsid w:val="00A26AB9"/>
    <w:rsid w:val="00A26B35"/>
    <w:rsid w:val="00A3314E"/>
    <w:rsid w:val="00A35735"/>
    <w:rsid w:val="00A5336A"/>
    <w:rsid w:val="00A8339A"/>
    <w:rsid w:val="00A83D2C"/>
    <w:rsid w:val="00A8474C"/>
    <w:rsid w:val="00A9327F"/>
    <w:rsid w:val="00A96918"/>
    <w:rsid w:val="00A96FFE"/>
    <w:rsid w:val="00AA7BA7"/>
    <w:rsid w:val="00AB6707"/>
    <w:rsid w:val="00AC0E7B"/>
    <w:rsid w:val="00AC2E6D"/>
    <w:rsid w:val="00AE7BEA"/>
    <w:rsid w:val="00AE7F81"/>
    <w:rsid w:val="00AF0E4C"/>
    <w:rsid w:val="00B00F10"/>
    <w:rsid w:val="00B01332"/>
    <w:rsid w:val="00B0481C"/>
    <w:rsid w:val="00B2104D"/>
    <w:rsid w:val="00B226F2"/>
    <w:rsid w:val="00B267C7"/>
    <w:rsid w:val="00B30A91"/>
    <w:rsid w:val="00B3697E"/>
    <w:rsid w:val="00B70728"/>
    <w:rsid w:val="00B75112"/>
    <w:rsid w:val="00B81103"/>
    <w:rsid w:val="00B902FA"/>
    <w:rsid w:val="00B962CF"/>
    <w:rsid w:val="00BA697C"/>
    <w:rsid w:val="00BA7AE0"/>
    <w:rsid w:val="00BB02A0"/>
    <w:rsid w:val="00BB23CF"/>
    <w:rsid w:val="00BB37AC"/>
    <w:rsid w:val="00BC305B"/>
    <w:rsid w:val="00BC65E7"/>
    <w:rsid w:val="00BC76E9"/>
    <w:rsid w:val="00BD1690"/>
    <w:rsid w:val="00BE3E2D"/>
    <w:rsid w:val="00C06DF8"/>
    <w:rsid w:val="00C12F38"/>
    <w:rsid w:val="00C23C6B"/>
    <w:rsid w:val="00C255CE"/>
    <w:rsid w:val="00C512FC"/>
    <w:rsid w:val="00C52B72"/>
    <w:rsid w:val="00C65388"/>
    <w:rsid w:val="00C74FA9"/>
    <w:rsid w:val="00C760CD"/>
    <w:rsid w:val="00C76228"/>
    <w:rsid w:val="00C96FA0"/>
    <w:rsid w:val="00CA103B"/>
    <w:rsid w:val="00CA1E91"/>
    <w:rsid w:val="00CA250D"/>
    <w:rsid w:val="00CA4D7C"/>
    <w:rsid w:val="00CA7482"/>
    <w:rsid w:val="00CC4A28"/>
    <w:rsid w:val="00CD0F80"/>
    <w:rsid w:val="00CD4A33"/>
    <w:rsid w:val="00CE207A"/>
    <w:rsid w:val="00CE253C"/>
    <w:rsid w:val="00CE459B"/>
    <w:rsid w:val="00CE4660"/>
    <w:rsid w:val="00CF48C2"/>
    <w:rsid w:val="00D02291"/>
    <w:rsid w:val="00D04FB9"/>
    <w:rsid w:val="00D05A85"/>
    <w:rsid w:val="00D06A14"/>
    <w:rsid w:val="00D07FF9"/>
    <w:rsid w:val="00D144CA"/>
    <w:rsid w:val="00D170D1"/>
    <w:rsid w:val="00D2098C"/>
    <w:rsid w:val="00D20FA5"/>
    <w:rsid w:val="00D23363"/>
    <w:rsid w:val="00D23529"/>
    <w:rsid w:val="00D33EE5"/>
    <w:rsid w:val="00D33F86"/>
    <w:rsid w:val="00D40796"/>
    <w:rsid w:val="00D417E1"/>
    <w:rsid w:val="00D430DF"/>
    <w:rsid w:val="00D44DD9"/>
    <w:rsid w:val="00D46CBA"/>
    <w:rsid w:val="00D54079"/>
    <w:rsid w:val="00D549E0"/>
    <w:rsid w:val="00D557E5"/>
    <w:rsid w:val="00D60A2F"/>
    <w:rsid w:val="00D65397"/>
    <w:rsid w:val="00D6655E"/>
    <w:rsid w:val="00D677E7"/>
    <w:rsid w:val="00D70381"/>
    <w:rsid w:val="00D71DD8"/>
    <w:rsid w:val="00D74366"/>
    <w:rsid w:val="00D83636"/>
    <w:rsid w:val="00D840C3"/>
    <w:rsid w:val="00D91BBD"/>
    <w:rsid w:val="00D93BDB"/>
    <w:rsid w:val="00DA5CEF"/>
    <w:rsid w:val="00DB107B"/>
    <w:rsid w:val="00DB7CC5"/>
    <w:rsid w:val="00DC1095"/>
    <w:rsid w:val="00DC1455"/>
    <w:rsid w:val="00DC2219"/>
    <w:rsid w:val="00DD1B7E"/>
    <w:rsid w:val="00DD6B7F"/>
    <w:rsid w:val="00DF069E"/>
    <w:rsid w:val="00DF2C68"/>
    <w:rsid w:val="00E00F46"/>
    <w:rsid w:val="00E058E4"/>
    <w:rsid w:val="00E10E58"/>
    <w:rsid w:val="00E116DF"/>
    <w:rsid w:val="00E123C5"/>
    <w:rsid w:val="00E15970"/>
    <w:rsid w:val="00E51257"/>
    <w:rsid w:val="00E614F2"/>
    <w:rsid w:val="00E75290"/>
    <w:rsid w:val="00E803DC"/>
    <w:rsid w:val="00E913E2"/>
    <w:rsid w:val="00EA5DFF"/>
    <w:rsid w:val="00EA76F3"/>
    <w:rsid w:val="00EB32D4"/>
    <w:rsid w:val="00EB47E7"/>
    <w:rsid w:val="00EB53BE"/>
    <w:rsid w:val="00EB5DEB"/>
    <w:rsid w:val="00EB7936"/>
    <w:rsid w:val="00EC0F42"/>
    <w:rsid w:val="00EC4C56"/>
    <w:rsid w:val="00EC65E3"/>
    <w:rsid w:val="00ED148D"/>
    <w:rsid w:val="00ED2338"/>
    <w:rsid w:val="00EE229B"/>
    <w:rsid w:val="00EE7B55"/>
    <w:rsid w:val="00EF3860"/>
    <w:rsid w:val="00EF669D"/>
    <w:rsid w:val="00F064C2"/>
    <w:rsid w:val="00F14190"/>
    <w:rsid w:val="00F144D9"/>
    <w:rsid w:val="00F2402F"/>
    <w:rsid w:val="00F3117E"/>
    <w:rsid w:val="00F338AF"/>
    <w:rsid w:val="00F34A5F"/>
    <w:rsid w:val="00F361D2"/>
    <w:rsid w:val="00F43004"/>
    <w:rsid w:val="00F50A25"/>
    <w:rsid w:val="00F50D86"/>
    <w:rsid w:val="00F53EA7"/>
    <w:rsid w:val="00F56E96"/>
    <w:rsid w:val="00F606E4"/>
    <w:rsid w:val="00F76C6A"/>
    <w:rsid w:val="00F86132"/>
    <w:rsid w:val="00F876FB"/>
    <w:rsid w:val="00FA3CE9"/>
    <w:rsid w:val="00FA6E90"/>
    <w:rsid w:val="00FB0C8A"/>
    <w:rsid w:val="00FB39C9"/>
    <w:rsid w:val="00FB6E23"/>
    <w:rsid w:val="00FB7FAE"/>
    <w:rsid w:val="00FE78B4"/>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7A9D-53DE-491E-9749-26A8E6BF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4513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5323</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4</cp:revision>
  <cp:lastPrinted>2016-01-17T18:09:00Z</cp:lastPrinted>
  <dcterms:created xsi:type="dcterms:W3CDTF">2016-01-22T16:30:00Z</dcterms:created>
  <dcterms:modified xsi:type="dcterms:W3CDTF">2016-01-22T16:32:00Z</dcterms:modified>
</cp:coreProperties>
</file>