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2D" w:rsidRPr="00684FDF" w:rsidRDefault="0047172D" w:rsidP="0047172D">
      <w:pPr>
        <w:spacing w:before="100" w:beforeAutospacing="1" w:after="100" w:afterAutospacing="1"/>
        <w:jc w:val="both"/>
        <w:outlineLvl w:val="0"/>
        <w:rPr>
          <w:rFonts w:ascii="Arial" w:hAnsi="Arial" w:cs="Arial"/>
        </w:rPr>
      </w:pPr>
      <w:r>
        <w:rPr>
          <w:rFonts w:ascii="Arial" w:hAnsi="Arial" w:cs="Arial"/>
          <w:bCs/>
          <w:kern w:val="36"/>
        </w:rPr>
        <w:t>Según el Tribunal Supremo l</w:t>
      </w:r>
      <w:r w:rsidRPr="00684FDF">
        <w:rPr>
          <w:rFonts w:ascii="Arial" w:hAnsi="Arial" w:cs="Arial"/>
          <w:bCs/>
          <w:kern w:val="36"/>
        </w:rPr>
        <w:t>os celos no justifican la aplicación de la atenuante de arrebato u obcecación</w:t>
      </w:r>
      <w:r>
        <w:rPr>
          <w:rFonts w:ascii="Arial" w:hAnsi="Arial" w:cs="Arial"/>
          <w:bCs/>
          <w:kern w:val="36"/>
        </w:rPr>
        <w:t xml:space="preserve">.  </w:t>
      </w:r>
      <w:r w:rsidRPr="00684FDF">
        <w:rPr>
          <w:rFonts w:ascii="Arial" w:hAnsi="Arial" w:cs="Arial"/>
        </w:rPr>
        <w:t xml:space="preserve">La Sala de lo penal del TS ha dictado una </w:t>
      </w:r>
      <w:r w:rsidRPr="00684FDF">
        <w:rPr>
          <w:rFonts w:ascii="Arial" w:hAnsi="Arial" w:cs="Arial"/>
          <w:bCs/>
        </w:rPr>
        <w:t>sentencia, de fecha 27 de noviembre de 2015</w:t>
      </w:r>
      <w:r w:rsidRPr="00684FDF">
        <w:rPr>
          <w:rFonts w:ascii="Arial" w:hAnsi="Arial" w:cs="Arial"/>
        </w:rPr>
        <w:t xml:space="preserve"> (sentencia número 754/2015, ponente señor Sánchez Melgar) en la que, reiterando anterior jurisprudencia, señala que los celos no constituyen justificación del arrebato u obcecación, ni permiten la aplicación de la atenuante de obrar por un impulso de estado pasional, pues salvo los casos en que tal reacción tenga una base patológica perfectamente probada que disminuya sensiblemente la imputabilidad del agente, las personas deben comprender que la libre determinación sentimental de aquellas otras con las que se relacionan no puede entrañar el ejercicio de violencia alguna en materia de género.</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El procesado fue condenado, como autor de un delito de homicidio en grado de tentativa, por otro de lesiones con instrumento peligroso y por otro de amenazas graves, en los tres casos concurriendo la agravante de parentesco, por haber intentado acuchillar en dos ocasiones a la víctima, con la que había mantenido una relación de convivencia, rota a instancias de aquélla.</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Frente a esta sentencia, se interpuso recurso de casación, que es desestimado por el Tribunal Supremo.</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Los argumentos de la Sala para desestimar el recurso se encuentran en los siguientes fundamentos de derecho (los destacados son nuestros).</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 xml:space="preserve">“SEGUNDO.- El primer motivo de su recurso se formaliza por estricta infracción de ley, al amparo de lo autorizado en el art. 849-1º de la Ley de Enjuiciamiento Criminal, con respecto a su condena por el delito de lesiones y el delito de homicidio en grado de tentativa, con la agravante de parentesco, y en tal censura </w:t>
      </w:r>
      <w:proofErr w:type="spellStart"/>
      <w:r w:rsidRPr="00684FDF">
        <w:rPr>
          <w:rFonts w:ascii="Arial" w:hAnsi="Arial" w:cs="Arial"/>
        </w:rPr>
        <w:t>casacional</w:t>
      </w:r>
      <w:proofErr w:type="spellEnd"/>
      <w:r w:rsidRPr="00684FDF">
        <w:rPr>
          <w:rFonts w:ascii="Arial" w:hAnsi="Arial" w:cs="Arial"/>
        </w:rPr>
        <w:t xml:space="preserve"> se denuncia la falta de aplicación de la atenuante de arrebato u obcecación, definida en el art. 21.3 del Código Penal.</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 xml:space="preserve">La Audiencia había rechazado tal resorte </w:t>
      </w:r>
      <w:proofErr w:type="spellStart"/>
      <w:r w:rsidRPr="00684FDF">
        <w:rPr>
          <w:rFonts w:ascii="Arial" w:hAnsi="Arial" w:cs="Arial"/>
        </w:rPr>
        <w:t>atenuatorio</w:t>
      </w:r>
      <w:proofErr w:type="spellEnd"/>
      <w:r w:rsidRPr="00684FDF">
        <w:rPr>
          <w:rFonts w:ascii="Arial" w:hAnsi="Arial" w:cs="Arial"/>
        </w:rPr>
        <w:t xml:space="preserve"> sobre la culpabilidad del agente delictivo con fundamento en que los celos o el resentimiento del procesado hacia su ex pareja, al haber puesta ésta fin a su relación sentimental no pueden justificar la reacción violenta que llevó a cabo, al estar fuera del marco social de convivencia tales conductas, no pudiendo esgrimirse para atenuar la responsabilidad penal de tal agresión.</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 xml:space="preserve">Hemos dicho reiteradamente que los celos no pueden justificar la atenuante de obrar por un impulso de estado pasional, pues a salvo los casos en que tal reacción tenga una base patológica perfectamente probada, de manera que se disminuya sensiblemente la imputabilidad del agente, las personas deben comprender que la libre determinación sentimental de aquellas otras con las </w:t>
      </w:r>
      <w:r w:rsidRPr="00684FDF">
        <w:rPr>
          <w:rFonts w:ascii="Arial" w:hAnsi="Arial" w:cs="Arial"/>
        </w:rPr>
        <w:lastRenderedPageBreak/>
        <w:t>que se relacionan no puede entrañar el ejercicio de violencia alguna en materia de género.</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En efecto, como hemos dicho en STS 357/2005, de 20 de abril, el fundamento de la atenuante del art. 21.3 CP. se encuentra en la disminución de la imputabilidad que se produce por la ofuscación de la mente y de las vivencias pasionales determinados por una alteración  emocional fugaz (arrebato) o por la más persistente de incitación personal (obcecación) pero siempre produciéndose por una causa o estimulo poderoso.</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En ambas modalidades precisa para su estimación que haya en su origen un determinante poderoso de carácter exógeno o exterior y de entidad suficiente para desencadenar un estado anímico de perturbación y oscurecimiento de sus facultades psíquicas con disminución de las cognoscitivas o volitivas del agente, de modo que sin alcanzar la cualidad propia del trastorno mental transitorio completo o incompleto, exceda del leve aturdimiento que suele acompañar a ciertas infracciones.</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 xml:space="preserve">Igualmente si no está contrastada la importancia del disturbio provocador, del disturbio emocional en que el arrebato consiste y que ha de tener influencia menguante sobre la imputabilidad del autor a partir de una razonable conexión temporal entre la causa o el estimulo y la equivocación o la pasión con la que se ha actuado, ni deja de exigir una cierta proporcionalidad entre la causa o estimulo y la reacción, calificando la atenuante como "la más subjetivamente matizada", pero "sin desdeñar aspectos objetivos atinentes a la índole y potencialidad de los estímulos, por exigencia de una razonable adecuación </w:t>
      </w:r>
      <w:proofErr w:type="spellStart"/>
      <w:r w:rsidRPr="00684FDF">
        <w:rPr>
          <w:rFonts w:ascii="Arial" w:hAnsi="Arial" w:cs="Arial"/>
        </w:rPr>
        <w:t>reaccional</w:t>
      </w:r>
      <w:proofErr w:type="spellEnd"/>
      <w:r w:rsidRPr="00684FDF">
        <w:rPr>
          <w:rFonts w:ascii="Arial" w:hAnsi="Arial" w:cs="Arial"/>
        </w:rPr>
        <w:t>". Como regla general "el estimulo ha de ser tan importante que permita explicar (que no justificar) la reacción concreta que se produjo. Si esta reacción es algo absolutamente discordante, por exceso notorio, respecto del hecho motivador, no cabe aplicar la atenuación" (STS256/2002, de 13 de febrero).</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Además, tales estímulos no han de ser reprochados por las normas socio-culturales que rigen la convivencia social y deben proceder del precedente comportamiento de la víctima, con una relación de causalidad entre los estímulos y el arrebato u obcecación y una conexión temporal, sino inmediatos si próximos, entre la presencia de los estímulos y el surgimiento de la emoción o pasión (SSTS 1110/96 de 20.12, 1479/99 de 18.10).</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 xml:space="preserve">Es preciso también que en el entorno social correspondiente no sean tales estímulos repudiados por la norma socio-cultural imperante, lo que significa que la actuación del agente se ha de producir dentro de un cierto sentido ético ya que su conducta y sus estímulos, no  pueden ser amparada por el Derecho cuando se apoyan en una actitud antisocial reprobada por la conciencia social </w:t>
      </w:r>
      <w:r w:rsidRPr="00684FDF">
        <w:rPr>
          <w:rFonts w:ascii="Arial" w:hAnsi="Arial" w:cs="Arial"/>
        </w:rPr>
        <w:lastRenderedPageBreak/>
        <w:t>imperante, que en esta relación de causa o afecto entre el estimulo desencadenante y la conducta ha de darse una conexión temporal y que cualquier reacción colérica que las que, con frecuencia, acompañan a ciertas acciones delictivas, no basta para la estimación de la atenuante (SSTS 17.11.1998, 15.1.2002).</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 xml:space="preserve">Respecto a los celos las SSTS 3.7.1989 y 14.7.1994, distinguen entre la </w:t>
      </w:r>
      <w:proofErr w:type="spellStart"/>
      <w:r w:rsidRPr="00684FDF">
        <w:rPr>
          <w:rFonts w:ascii="Arial" w:hAnsi="Arial" w:cs="Arial"/>
        </w:rPr>
        <w:t>celopatía</w:t>
      </w:r>
      <w:proofErr w:type="spellEnd"/>
      <w:r w:rsidRPr="00684FDF">
        <w:rPr>
          <w:rFonts w:ascii="Arial" w:hAnsi="Arial" w:cs="Arial"/>
        </w:rPr>
        <w:t xml:space="preserve">, inserta en el síndrome paranoico y la celotipia, como reacción vivencial desproporcionada, lo que puede dar lugar a la apreciación del trastorno mental transitorio completo o incompleto, según su intensidad, en el caso de </w:t>
      </w:r>
      <w:proofErr w:type="spellStart"/>
      <w:r w:rsidRPr="00684FDF">
        <w:rPr>
          <w:rFonts w:ascii="Arial" w:hAnsi="Arial" w:cs="Arial"/>
        </w:rPr>
        <w:t>celopatía</w:t>
      </w:r>
      <w:proofErr w:type="spellEnd"/>
      <w:r w:rsidRPr="00684FDF">
        <w:rPr>
          <w:rFonts w:ascii="Arial" w:hAnsi="Arial" w:cs="Arial"/>
        </w:rPr>
        <w:t xml:space="preserve"> y de la atenuante pasional simple o cualificada, también según su intensidad, en el de la celotipia.</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En el caso enjuiciado, no hay base fáctica para apreciar su concurrencia. Los celos no constituyen justificación del arrebato u obcecación (STS 904/2007, de 8 de noviembre). El desafecto o el deseo de poner fin a una relación conyugal o de pareja no puede considerarse como un estímulo poderoso para la parte contraria y no tiene eficacia para sustentar una posible atenuante de arrebato u obcecación (SSTS 1424/2004, de 1 de diciembre y 201/2007, de 16 de marzo).</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La ruptura de una relación matrimonial –dice la STS 1340/2000 de 25 de julio– constituye una incidencia que debe ser admitida socialmente, si tenemos en cuenta que las relaciones entre los componentes de la pareja se desenvuelven en un plano de igualdad y plenitud de derechos que inicialmente y dejando a salvo algunas variantes posibles, deben prevalecer en toda clase de relaciones personales. Por ello ninguna de las partes afectadas puede pretender que tiene un derecho superior a imponer su voluntad a la contraria, debiendo admitir que la vía para la solución del conflicto no puede pasar por la utilización de métodos agresivos. La pretensión de reanudar a ultranza unas relaciones conyugales o de pareja, deterioradas por diferencias o enfrentamientos personales, no pueden llevarse hasta el extremo de utilizar la fuerza como único procedimiento para imponer la voluntad del agresor. Quien se sitúa en el plano injustificable de la prepotencia y la superioridad no puede pretender que su conducta se vea beneficiada por un reconocimiento de la disminución de su imputabilidad o culpabilidad.</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Los presupuestos de la atenuación deben ser lícitos y acordes con las normas de convivencia. De ahí que no pueda aceptarse como digna de protección una conducta que no hace sino perpetuar una desigualdad de género, manteniendo una especie de protección sobre la mujer con la que se ha convivido (STS 18/2006).</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 xml:space="preserve">En suma –recuerda la STS 61/2010, de 18 de enero– los celos, más allá de aquellos casos en los que son el síntoma de una enfermedad patológica </w:t>
      </w:r>
      <w:r w:rsidRPr="00684FDF">
        <w:rPr>
          <w:rFonts w:ascii="Arial" w:hAnsi="Arial" w:cs="Arial"/>
        </w:rPr>
        <w:lastRenderedPageBreak/>
        <w:t>susceptible de otro tratamiento jurídico-penal, no pueden justificar, con carácter general, la aplicación de la atenuante de arrebato u obcecación, sobre todo, en casos de divorcio, en los que, por definición, renace el derecho de ambos cónyuges a rehacer un proyecto propio de vida afectiva. De lo contrario, estaríamos privilegiando injustificadas reacciones coléricas que, si bien se mira, son expresivas de un espíritu de dominación que nuestro sistema jurídico no puede beneficiar con un tratamiento atenuado de la responsabilidad criminal.</w:t>
      </w:r>
    </w:p>
    <w:p w:rsidR="0047172D" w:rsidRPr="00684FDF" w:rsidRDefault="0047172D" w:rsidP="0047172D">
      <w:pPr>
        <w:spacing w:before="100" w:beforeAutospacing="1" w:after="100" w:afterAutospacing="1"/>
        <w:jc w:val="both"/>
        <w:rPr>
          <w:rFonts w:ascii="Arial" w:hAnsi="Arial" w:cs="Arial"/>
        </w:rPr>
      </w:pPr>
      <w:r w:rsidRPr="00684FDF">
        <w:rPr>
          <w:rFonts w:ascii="Arial" w:hAnsi="Arial" w:cs="Arial"/>
        </w:rPr>
        <w:t>En consecuencia, el motivo no puede prosperar. (...)”</w:t>
      </w:r>
    </w:p>
    <w:p w:rsidR="0047172D" w:rsidRPr="00684FDF" w:rsidRDefault="0047172D" w:rsidP="0047172D">
      <w:pPr>
        <w:jc w:val="both"/>
        <w:rPr>
          <w:rFonts w:ascii="Arial" w:hAnsi="Arial" w:cs="Arial"/>
        </w:rPr>
      </w:pPr>
    </w:p>
    <w:p w:rsidR="001A15CD" w:rsidRDefault="001A15C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47172D" w:rsidRDefault="0047172D" w:rsidP="006B159B">
      <w:pPr>
        <w:spacing w:line="360" w:lineRule="auto"/>
        <w:jc w:val="both"/>
        <w:rPr>
          <w:rFonts w:ascii="Arial" w:hAnsi="Arial" w:cs="Arial"/>
        </w:rPr>
      </w:pPr>
    </w:p>
    <w:p w:rsidR="00AB6707" w:rsidRPr="006B159B" w:rsidRDefault="00AB6707" w:rsidP="006B159B">
      <w:pPr>
        <w:spacing w:line="360" w:lineRule="auto"/>
        <w:jc w:val="both"/>
        <w:rPr>
          <w:rFonts w:ascii="Arial" w:hAnsi="Arial" w:cs="Arial"/>
        </w:rPr>
      </w:pPr>
    </w:p>
    <w:p w:rsidR="00AB6707" w:rsidRPr="006B159B" w:rsidRDefault="00AB6707" w:rsidP="006B159B">
      <w:pPr>
        <w:spacing w:line="360" w:lineRule="auto"/>
        <w:jc w:val="both"/>
        <w:rPr>
          <w:rFonts w:ascii="Arial" w:hAnsi="Arial" w:cs="Arial"/>
        </w:rPr>
      </w:pPr>
    </w:p>
    <w:p w:rsidR="00AB6707" w:rsidRPr="006B159B" w:rsidRDefault="00AB6707" w:rsidP="006B159B">
      <w:pPr>
        <w:spacing w:line="360" w:lineRule="auto"/>
        <w:jc w:val="both"/>
        <w:rPr>
          <w:rFonts w:ascii="Arial" w:hAnsi="Arial" w:cs="Arial"/>
        </w:rPr>
      </w:pPr>
    </w:p>
    <w:p w:rsidR="00AB6707" w:rsidRPr="006B159B" w:rsidRDefault="00AB6707"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D02291" w:rsidRPr="006B159B" w:rsidRDefault="00D02291" w:rsidP="006B159B">
      <w:pPr>
        <w:pStyle w:val="NormalWeb"/>
        <w:spacing w:before="0" w:beforeAutospacing="0" w:after="0" w:afterAutospacing="0" w:line="360" w:lineRule="auto"/>
        <w:jc w:val="both"/>
        <w:rPr>
          <w:rFonts w:ascii="Arial" w:hAnsi="Arial" w:cs="Arial"/>
        </w:rPr>
      </w:pPr>
    </w:p>
    <w:sectPr w:rsidR="00D02291" w:rsidRPr="006B159B"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73" w:rsidRDefault="00681E73">
      <w:r>
        <w:separator/>
      </w:r>
    </w:p>
  </w:endnote>
  <w:endnote w:type="continuationSeparator" w:id="0">
    <w:p w:rsidR="00681E73" w:rsidRDefault="00681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355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355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94D19">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73" w:rsidRDefault="00681E73">
      <w:r>
        <w:separator/>
      </w:r>
    </w:p>
  </w:footnote>
  <w:footnote w:type="continuationSeparator" w:id="0">
    <w:p w:rsidR="00681E73" w:rsidRDefault="00681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35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355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35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6041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5799"/>
    <w:rsid w:val="00005938"/>
    <w:rsid w:val="00017DA5"/>
    <w:rsid w:val="00033CEB"/>
    <w:rsid w:val="000362A9"/>
    <w:rsid w:val="00042584"/>
    <w:rsid w:val="0005559E"/>
    <w:rsid w:val="000677B4"/>
    <w:rsid w:val="000825EC"/>
    <w:rsid w:val="00083E4E"/>
    <w:rsid w:val="00086F28"/>
    <w:rsid w:val="000A133F"/>
    <w:rsid w:val="000B30D9"/>
    <w:rsid w:val="000C2041"/>
    <w:rsid w:val="000C337E"/>
    <w:rsid w:val="000C47AE"/>
    <w:rsid w:val="000C4953"/>
    <w:rsid w:val="000D5D61"/>
    <w:rsid w:val="000F1749"/>
    <w:rsid w:val="0010060C"/>
    <w:rsid w:val="0010178D"/>
    <w:rsid w:val="001360FD"/>
    <w:rsid w:val="00140D3C"/>
    <w:rsid w:val="00142C8E"/>
    <w:rsid w:val="00146353"/>
    <w:rsid w:val="00162E93"/>
    <w:rsid w:val="00163318"/>
    <w:rsid w:val="0016353A"/>
    <w:rsid w:val="00165508"/>
    <w:rsid w:val="00170C4A"/>
    <w:rsid w:val="001765E7"/>
    <w:rsid w:val="001771E6"/>
    <w:rsid w:val="00181091"/>
    <w:rsid w:val="001829D4"/>
    <w:rsid w:val="00194D19"/>
    <w:rsid w:val="001969A3"/>
    <w:rsid w:val="001A15CD"/>
    <w:rsid w:val="001A6D78"/>
    <w:rsid w:val="001C0F7E"/>
    <w:rsid w:val="001C6A86"/>
    <w:rsid w:val="001D7106"/>
    <w:rsid w:val="001E0A4E"/>
    <w:rsid w:val="001E0D97"/>
    <w:rsid w:val="001E5F6F"/>
    <w:rsid w:val="001F194A"/>
    <w:rsid w:val="00202275"/>
    <w:rsid w:val="00206865"/>
    <w:rsid w:val="00222D9D"/>
    <w:rsid w:val="00224282"/>
    <w:rsid w:val="00232DFC"/>
    <w:rsid w:val="00247F1A"/>
    <w:rsid w:val="002503E9"/>
    <w:rsid w:val="00250B2A"/>
    <w:rsid w:val="00255846"/>
    <w:rsid w:val="00267153"/>
    <w:rsid w:val="002744D4"/>
    <w:rsid w:val="002759CE"/>
    <w:rsid w:val="00283E8B"/>
    <w:rsid w:val="00284FAC"/>
    <w:rsid w:val="002A2EE4"/>
    <w:rsid w:val="002A6352"/>
    <w:rsid w:val="002B268C"/>
    <w:rsid w:val="002B579C"/>
    <w:rsid w:val="002C2243"/>
    <w:rsid w:val="002D2ED2"/>
    <w:rsid w:val="002D32FE"/>
    <w:rsid w:val="002F6D88"/>
    <w:rsid w:val="002F7B53"/>
    <w:rsid w:val="003067DF"/>
    <w:rsid w:val="00320289"/>
    <w:rsid w:val="00323572"/>
    <w:rsid w:val="00323FC4"/>
    <w:rsid w:val="00326C83"/>
    <w:rsid w:val="00332AC6"/>
    <w:rsid w:val="00332F1F"/>
    <w:rsid w:val="00357DD2"/>
    <w:rsid w:val="0036668D"/>
    <w:rsid w:val="00373292"/>
    <w:rsid w:val="00374027"/>
    <w:rsid w:val="003A3123"/>
    <w:rsid w:val="003A359A"/>
    <w:rsid w:val="003B5346"/>
    <w:rsid w:val="003D0308"/>
    <w:rsid w:val="003D1CE9"/>
    <w:rsid w:val="003D5A4F"/>
    <w:rsid w:val="003E5D44"/>
    <w:rsid w:val="003E66C1"/>
    <w:rsid w:val="003E7310"/>
    <w:rsid w:val="003F11D6"/>
    <w:rsid w:val="003F6C38"/>
    <w:rsid w:val="004026DE"/>
    <w:rsid w:val="00403FB6"/>
    <w:rsid w:val="004069A0"/>
    <w:rsid w:val="00424E68"/>
    <w:rsid w:val="004310CD"/>
    <w:rsid w:val="0044211B"/>
    <w:rsid w:val="00445C86"/>
    <w:rsid w:val="00447A97"/>
    <w:rsid w:val="00447B6D"/>
    <w:rsid w:val="00453887"/>
    <w:rsid w:val="00464DB2"/>
    <w:rsid w:val="004712E1"/>
    <w:rsid w:val="0047172D"/>
    <w:rsid w:val="00472F61"/>
    <w:rsid w:val="00475782"/>
    <w:rsid w:val="0048064B"/>
    <w:rsid w:val="004813E1"/>
    <w:rsid w:val="0048268F"/>
    <w:rsid w:val="00483D29"/>
    <w:rsid w:val="004856E9"/>
    <w:rsid w:val="0048734A"/>
    <w:rsid w:val="004A2021"/>
    <w:rsid w:val="004A6D3B"/>
    <w:rsid w:val="004B28BD"/>
    <w:rsid w:val="004C4D7A"/>
    <w:rsid w:val="004C5EF2"/>
    <w:rsid w:val="004D4741"/>
    <w:rsid w:val="004D4815"/>
    <w:rsid w:val="004D7C75"/>
    <w:rsid w:val="004E0928"/>
    <w:rsid w:val="004F1AE6"/>
    <w:rsid w:val="004F4321"/>
    <w:rsid w:val="004F7038"/>
    <w:rsid w:val="00502F2D"/>
    <w:rsid w:val="005111CB"/>
    <w:rsid w:val="00511F20"/>
    <w:rsid w:val="00530120"/>
    <w:rsid w:val="005310EF"/>
    <w:rsid w:val="005314CC"/>
    <w:rsid w:val="0053730B"/>
    <w:rsid w:val="00537E4E"/>
    <w:rsid w:val="005537F8"/>
    <w:rsid w:val="00554FD4"/>
    <w:rsid w:val="00555B56"/>
    <w:rsid w:val="005636FA"/>
    <w:rsid w:val="00573B2A"/>
    <w:rsid w:val="00577EC0"/>
    <w:rsid w:val="00586A96"/>
    <w:rsid w:val="005913E9"/>
    <w:rsid w:val="00595E1F"/>
    <w:rsid w:val="005B364E"/>
    <w:rsid w:val="005C19B9"/>
    <w:rsid w:val="005C523E"/>
    <w:rsid w:val="005D7F03"/>
    <w:rsid w:val="005E548E"/>
    <w:rsid w:val="005F7C83"/>
    <w:rsid w:val="00621861"/>
    <w:rsid w:val="00632790"/>
    <w:rsid w:val="00657119"/>
    <w:rsid w:val="006636A4"/>
    <w:rsid w:val="00664269"/>
    <w:rsid w:val="00676AA2"/>
    <w:rsid w:val="00681E73"/>
    <w:rsid w:val="006877B4"/>
    <w:rsid w:val="006928C9"/>
    <w:rsid w:val="006949F3"/>
    <w:rsid w:val="006A4E17"/>
    <w:rsid w:val="006A5309"/>
    <w:rsid w:val="006B159B"/>
    <w:rsid w:val="006C0996"/>
    <w:rsid w:val="006C350A"/>
    <w:rsid w:val="006C640B"/>
    <w:rsid w:val="006D4E8D"/>
    <w:rsid w:val="006D5D22"/>
    <w:rsid w:val="006E73A1"/>
    <w:rsid w:val="006E74F1"/>
    <w:rsid w:val="006F4431"/>
    <w:rsid w:val="006F6E0F"/>
    <w:rsid w:val="00701F10"/>
    <w:rsid w:val="00722C56"/>
    <w:rsid w:val="0072781A"/>
    <w:rsid w:val="00731EBB"/>
    <w:rsid w:val="00741184"/>
    <w:rsid w:val="007419EB"/>
    <w:rsid w:val="00760140"/>
    <w:rsid w:val="00765E89"/>
    <w:rsid w:val="00772E66"/>
    <w:rsid w:val="00786044"/>
    <w:rsid w:val="00792B95"/>
    <w:rsid w:val="007969C0"/>
    <w:rsid w:val="007A19AF"/>
    <w:rsid w:val="007A1D46"/>
    <w:rsid w:val="007A34C4"/>
    <w:rsid w:val="007A6627"/>
    <w:rsid w:val="007C19AA"/>
    <w:rsid w:val="007C19D7"/>
    <w:rsid w:val="007C1D60"/>
    <w:rsid w:val="007C312B"/>
    <w:rsid w:val="007C669E"/>
    <w:rsid w:val="008343D7"/>
    <w:rsid w:val="00841973"/>
    <w:rsid w:val="00843326"/>
    <w:rsid w:val="00845420"/>
    <w:rsid w:val="00855B9F"/>
    <w:rsid w:val="00870EF6"/>
    <w:rsid w:val="00872127"/>
    <w:rsid w:val="008802B6"/>
    <w:rsid w:val="008839CF"/>
    <w:rsid w:val="0088710E"/>
    <w:rsid w:val="00890667"/>
    <w:rsid w:val="00895754"/>
    <w:rsid w:val="008A7198"/>
    <w:rsid w:val="008B1379"/>
    <w:rsid w:val="008B271D"/>
    <w:rsid w:val="008B475A"/>
    <w:rsid w:val="008E5B16"/>
    <w:rsid w:val="008E7057"/>
    <w:rsid w:val="008F00DE"/>
    <w:rsid w:val="008F4096"/>
    <w:rsid w:val="008F6439"/>
    <w:rsid w:val="0090382B"/>
    <w:rsid w:val="00911185"/>
    <w:rsid w:val="00911495"/>
    <w:rsid w:val="00911FEA"/>
    <w:rsid w:val="0091400C"/>
    <w:rsid w:val="00914687"/>
    <w:rsid w:val="00920163"/>
    <w:rsid w:val="009227EE"/>
    <w:rsid w:val="009416AE"/>
    <w:rsid w:val="009422B8"/>
    <w:rsid w:val="009426CD"/>
    <w:rsid w:val="009438A7"/>
    <w:rsid w:val="00947BA6"/>
    <w:rsid w:val="009653C8"/>
    <w:rsid w:val="00971FA9"/>
    <w:rsid w:val="009725D8"/>
    <w:rsid w:val="00982CBB"/>
    <w:rsid w:val="00983DAD"/>
    <w:rsid w:val="00993871"/>
    <w:rsid w:val="009B39B1"/>
    <w:rsid w:val="009B433E"/>
    <w:rsid w:val="009B6BE2"/>
    <w:rsid w:val="009B7116"/>
    <w:rsid w:val="009C162D"/>
    <w:rsid w:val="009C6D7B"/>
    <w:rsid w:val="009E0EF0"/>
    <w:rsid w:val="009F140E"/>
    <w:rsid w:val="009F333D"/>
    <w:rsid w:val="00A00301"/>
    <w:rsid w:val="00A00E65"/>
    <w:rsid w:val="00A07993"/>
    <w:rsid w:val="00A108F5"/>
    <w:rsid w:val="00A14E96"/>
    <w:rsid w:val="00A22B86"/>
    <w:rsid w:val="00A26AB9"/>
    <w:rsid w:val="00A26B35"/>
    <w:rsid w:val="00A3314E"/>
    <w:rsid w:val="00A5336A"/>
    <w:rsid w:val="00A53757"/>
    <w:rsid w:val="00A8339A"/>
    <w:rsid w:val="00A83D2C"/>
    <w:rsid w:val="00A96918"/>
    <w:rsid w:val="00A96FFE"/>
    <w:rsid w:val="00AA7BA7"/>
    <w:rsid w:val="00AB6707"/>
    <w:rsid w:val="00AC0E7B"/>
    <w:rsid w:val="00AC2E6D"/>
    <w:rsid w:val="00AE7F81"/>
    <w:rsid w:val="00AF0E4C"/>
    <w:rsid w:val="00B00F10"/>
    <w:rsid w:val="00B01332"/>
    <w:rsid w:val="00B0481C"/>
    <w:rsid w:val="00B226F2"/>
    <w:rsid w:val="00B267C7"/>
    <w:rsid w:val="00B30A91"/>
    <w:rsid w:val="00B3697E"/>
    <w:rsid w:val="00B70728"/>
    <w:rsid w:val="00B75112"/>
    <w:rsid w:val="00B81103"/>
    <w:rsid w:val="00B962CF"/>
    <w:rsid w:val="00BA697C"/>
    <w:rsid w:val="00BB23CF"/>
    <w:rsid w:val="00BB37AC"/>
    <w:rsid w:val="00BC65E7"/>
    <w:rsid w:val="00BC76E9"/>
    <w:rsid w:val="00BE3E2D"/>
    <w:rsid w:val="00C06DF8"/>
    <w:rsid w:val="00C12F38"/>
    <w:rsid w:val="00C23C6B"/>
    <w:rsid w:val="00C255CE"/>
    <w:rsid w:val="00C512FC"/>
    <w:rsid w:val="00C65388"/>
    <w:rsid w:val="00C74FA9"/>
    <w:rsid w:val="00C76228"/>
    <w:rsid w:val="00CA103B"/>
    <w:rsid w:val="00CA1E91"/>
    <w:rsid w:val="00CA250D"/>
    <w:rsid w:val="00CA7482"/>
    <w:rsid w:val="00CC4A28"/>
    <w:rsid w:val="00CD0F80"/>
    <w:rsid w:val="00CD4A33"/>
    <w:rsid w:val="00CE207A"/>
    <w:rsid w:val="00CE253C"/>
    <w:rsid w:val="00CF48C2"/>
    <w:rsid w:val="00D02291"/>
    <w:rsid w:val="00D04FB9"/>
    <w:rsid w:val="00D06A14"/>
    <w:rsid w:val="00D07FF9"/>
    <w:rsid w:val="00D144CA"/>
    <w:rsid w:val="00D170D1"/>
    <w:rsid w:val="00D2098C"/>
    <w:rsid w:val="00D20FA5"/>
    <w:rsid w:val="00D23363"/>
    <w:rsid w:val="00D23529"/>
    <w:rsid w:val="00D33F86"/>
    <w:rsid w:val="00D40796"/>
    <w:rsid w:val="00D417E1"/>
    <w:rsid w:val="00D44DD9"/>
    <w:rsid w:val="00D46CBA"/>
    <w:rsid w:val="00D549E0"/>
    <w:rsid w:val="00D557E5"/>
    <w:rsid w:val="00D60A2F"/>
    <w:rsid w:val="00D65397"/>
    <w:rsid w:val="00D6655E"/>
    <w:rsid w:val="00D677E7"/>
    <w:rsid w:val="00D71DD8"/>
    <w:rsid w:val="00D74366"/>
    <w:rsid w:val="00D83636"/>
    <w:rsid w:val="00D840C3"/>
    <w:rsid w:val="00D91BBD"/>
    <w:rsid w:val="00D93BDB"/>
    <w:rsid w:val="00DA5CEF"/>
    <w:rsid w:val="00DB107B"/>
    <w:rsid w:val="00DC1095"/>
    <w:rsid w:val="00DC1455"/>
    <w:rsid w:val="00DC2219"/>
    <w:rsid w:val="00DD1B7E"/>
    <w:rsid w:val="00DF069E"/>
    <w:rsid w:val="00DF2C68"/>
    <w:rsid w:val="00E00F46"/>
    <w:rsid w:val="00E058E4"/>
    <w:rsid w:val="00E116DF"/>
    <w:rsid w:val="00E123C5"/>
    <w:rsid w:val="00E15970"/>
    <w:rsid w:val="00E51257"/>
    <w:rsid w:val="00E75290"/>
    <w:rsid w:val="00E803DC"/>
    <w:rsid w:val="00EA76F3"/>
    <w:rsid w:val="00EB32D4"/>
    <w:rsid w:val="00EB47E7"/>
    <w:rsid w:val="00EB53BE"/>
    <w:rsid w:val="00EB5DEB"/>
    <w:rsid w:val="00EC0F42"/>
    <w:rsid w:val="00EC4C56"/>
    <w:rsid w:val="00EC65E3"/>
    <w:rsid w:val="00ED148D"/>
    <w:rsid w:val="00ED2338"/>
    <w:rsid w:val="00EE229B"/>
    <w:rsid w:val="00EE7B55"/>
    <w:rsid w:val="00EF3860"/>
    <w:rsid w:val="00EF669D"/>
    <w:rsid w:val="00F0355E"/>
    <w:rsid w:val="00F064C2"/>
    <w:rsid w:val="00F14190"/>
    <w:rsid w:val="00F144D9"/>
    <w:rsid w:val="00F2402F"/>
    <w:rsid w:val="00F3117E"/>
    <w:rsid w:val="00F338AF"/>
    <w:rsid w:val="00F34A5F"/>
    <w:rsid w:val="00F361D2"/>
    <w:rsid w:val="00F43004"/>
    <w:rsid w:val="00F50A25"/>
    <w:rsid w:val="00F50D86"/>
    <w:rsid w:val="00F53EA7"/>
    <w:rsid w:val="00F56E96"/>
    <w:rsid w:val="00F606E4"/>
    <w:rsid w:val="00F76C6A"/>
    <w:rsid w:val="00F86132"/>
    <w:rsid w:val="00F876FB"/>
    <w:rsid w:val="00FA3CE9"/>
    <w:rsid w:val="00FA6E90"/>
    <w:rsid w:val="00FB0C8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CFB8-3E51-444F-8810-EC82470D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7412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8742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2016-01-05T21:44:00Z</cp:lastPrinted>
  <dcterms:created xsi:type="dcterms:W3CDTF">2016-01-05T21:44:00Z</dcterms:created>
  <dcterms:modified xsi:type="dcterms:W3CDTF">2016-01-05T21:45:00Z</dcterms:modified>
</cp:coreProperties>
</file>