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72D" w:rsidRPr="00684FDF" w:rsidRDefault="0047172D" w:rsidP="0047172D">
      <w:pPr>
        <w:spacing w:before="100" w:beforeAutospacing="1" w:after="100" w:afterAutospacing="1"/>
        <w:jc w:val="both"/>
        <w:outlineLvl w:val="0"/>
        <w:rPr>
          <w:rFonts w:ascii="Arial" w:hAnsi="Arial" w:cs="Arial"/>
        </w:rPr>
      </w:pPr>
      <w:r>
        <w:rPr>
          <w:rFonts w:ascii="Arial" w:hAnsi="Arial" w:cs="Arial"/>
          <w:bCs/>
          <w:kern w:val="36"/>
        </w:rPr>
        <w:t>Según el Tribunal Supremo l</w:t>
      </w:r>
      <w:r w:rsidRPr="00684FDF">
        <w:rPr>
          <w:rFonts w:ascii="Arial" w:hAnsi="Arial" w:cs="Arial"/>
          <w:bCs/>
          <w:kern w:val="36"/>
        </w:rPr>
        <w:t>os celos no justifican la aplicación de la atenuante de arrebato u obcecación</w:t>
      </w:r>
      <w:r>
        <w:rPr>
          <w:rFonts w:ascii="Arial" w:hAnsi="Arial" w:cs="Arial"/>
          <w:bCs/>
          <w:kern w:val="36"/>
        </w:rPr>
        <w:t xml:space="preserve">.  </w:t>
      </w:r>
      <w:r w:rsidRPr="00684FDF">
        <w:rPr>
          <w:rFonts w:ascii="Arial" w:hAnsi="Arial" w:cs="Arial"/>
        </w:rPr>
        <w:t xml:space="preserve">La Sala de lo penal del TS ha dictado una </w:t>
      </w:r>
      <w:r w:rsidRPr="00684FDF">
        <w:rPr>
          <w:rFonts w:ascii="Arial" w:hAnsi="Arial" w:cs="Arial"/>
          <w:bCs/>
        </w:rPr>
        <w:t>sentencia, de fecha 27 de noviembre de 2015</w:t>
      </w:r>
      <w:r w:rsidRPr="00684FDF">
        <w:rPr>
          <w:rFonts w:ascii="Arial" w:hAnsi="Arial" w:cs="Arial"/>
        </w:rPr>
        <w:t xml:space="preserve"> (sentencia número 754/2015, ponente señor Sánchez Melgar) en la que, reiterando anterior jurisprudencia, señala que los celos no constituyen justificación del arrebato u obcecación, ni permiten la aplicación de la atenuante de obrar por un impulso de estado pasional, pues salvo los casos en que tal reacción tenga una base patológica perfectamente probada que disminuya sensiblemente la imputabilidad del agente, las personas deben comprender que la libre determinación sentimental de aquellas otras con las que se relacionan no puede entrañar el ejercicio de violencia alguna en materia de género.</w:t>
      </w:r>
    </w:p>
    <w:p w:rsidR="0047172D" w:rsidRPr="00684FDF" w:rsidRDefault="0047172D" w:rsidP="0047172D">
      <w:pPr>
        <w:spacing w:before="100" w:beforeAutospacing="1" w:after="100" w:afterAutospacing="1"/>
        <w:jc w:val="both"/>
        <w:rPr>
          <w:rFonts w:ascii="Arial" w:hAnsi="Arial" w:cs="Arial"/>
        </w:rPr>
      </w:pPr>
      <w:r w:rsidRPr="00684FDF">
        <w:rPr>
          <w:rFonts w:ascii="Arial" w:hAnsi="Arial" w:cs="Arial"/>
        </w:rPr>
        <w:t>El procesado fue condenado, como autor de un delito de homicidio en grado de tentativa, por otro de lesiones con instrumento peligroso y por otro de amenazas graves, en los tres casos concurriendo la agravante de parentesco, por haber intentado acuchillar en dos ocasiones a la víctima, con la que había mantenido una relación de convivencia, rota a instancias de aquélla.</w:t>
      </w:r>
    </w:p>
    <w:p w:rsidR="0047172D" w:rsidRPr="00684FDF" w:rsidRDefault="0047172D" w:rsidP="0047172D">
      <w:pPr>
        <w:spacing w:before="100" w:beforeAutospacing="1" w:after="100" w:afterAutospacing="1"/>
        <w:jc w:val="both"/>
        <w:rPr>
          <w:rFonts w:ascii="Arial" w:hAnsi="Arial" w:cs="Arial"/>
        </w:rPr>
      </w:pPr>
      <w:r w:rsidRPr="00684FDF">
        <w:rPr>
          <w:rFonts w:ascii="Arial" w:hAnsi="Arial" w:cs="Arial"/>
        </w:rPr>
        <w:t>Frente a esta sentencia, se interpuso recurso de casación, que es desestimado por el Tribunal Supremo.</w:t>
      </w:r>
    </w:p>
    <w:p w:rsidR="0047172D" w:rsidRPr="00684FDF" w:rsidRDefault="0047172D" w:rsidP="0047172D">
      <w:pPr>
        <w:spacing w:before="100" w:beforeAutospacing="1" w:after="100" w:afterAutospacing="1"/>
        <w:jc w:val="both"/>
        <w:rPr>
          <w:rFonts w:ascii="Arial" w:hAnsi="Arial" w:cs="Arial"/>
        </w:rPr>
      </w:pPr>
      <w:r w:rsidRPr="00684FDF">
        <w:rPr>
          <w:rFonts w:ascii="Arial" w:hAnsi="Arial" w:cs="Arial"/>
        </w:rPr>
        <w:t>Los argumentos de la Sala para desestimar el recurso se encuentran en los siguientes fundamentos de derecho (los destacados son nuestros).</w:t>
      </w:r>
    </w:p>
    <w:p w:rsidR="0047172D" w:rsidRPr="00684FDF" w:rsidRDefault="0047172D" w:rsidP="0047172D">
      <w:pPr>
        <w:spacing w:before="100" w:beforeAutospacing="1" w:after="100" w:afterAutospacing="1"/>
        <w:jc w:val="both"/>
        <w:rPr>
          <w:rFonts w:ascii="Arial" w:hAnsi="Arial" w:cs="Arial"/>
        </w:rPr>
      </w:pPr>
      <w:r w:rsidRPr="00684FDF">
        <w:rPr>
          <w:rFonts w:ascii="Arial" w:hAnsi="Arial" w:cs="Arial"/>
        </w:rPr>
        <w:t xml:space="preserve">“SEGUNDO.- El primer motivo de su recurso se formaliza por estricta infracción de ley, al amparo de lo autorizado en el art. 849-1º de la Ley de Enjuiciamiento Criminal, con respecto a su condena por el delito de lesiones y el delito de homicidio en grado de tentativa, con la agravante de parentesco, y en tal censura </w:t>
      </w:r>
      <w:proofErr w:type="spellStart"/>
      <w:r w:rsidRPr="00684FDF">
        <w:rPr>
          <w:rFonts w:ascii="Arial" w:hAnsi="Arial" w:cs="Arial"/>
        </w:rPr>
        <w:t>casacional</w:t>
      </w:r>
      <w:proofErr w:type="spellEnd"/>
      <w:r w:rsidRPr="00684FDF">
        <w:rPr>
          <w:rFonts w:ascii="Arial" w:hAnsi="Arial" w:cs="Arial"/>
        </w:rPr>
        <w:t xml:space="preserve"> se denuncia la falta de aplicación de la atenuante de arrebato u obcecación, definida en el art. 21.3 del Código Penal.</w:t>
      </w:r>
    </w:p>
    <w:p w:rsidR="0047172D" w:rsidRPr="00684FDF" w:rsidRDefault="0047172D" w:rsidP="0047172D">
      <w:pPr>
        <w:spacing w:before="100" w:beforeAutospacing="1" w:after="100" w:afterAutospacing="1"/>
        <w:jc w:val="both"/>
        <w:rPr>
          <w:rFonts w:ascii="Arial" w:hAnsi="Arial" w:cs="Arial"/>
        </w:rPr>
      </w:pPr>
      <w:r w:rsidRPr="00684FDF">
        <w:rPr>
          <w:rFonts w:ascii="Arial" w:hAnsi="Arial" w:cs="Arial"/>
        </w:rPr>
        <w:t xml:space="preserve">La Audiencia había rechazado tal resorte </w:t>
      </w:r>
      <w:proofErr w:type="spellStart"/>
      <w:r w:rsidRPr="00684FDF">
        <w:rPr>
          <w:rFonts w:ascii="Arial" w:hAnsi="Arial" w:cs="Arial"/>
        </w:rPr>
        <w:t>atenuatorio</w:t>
      </w:r>
      <w:proofErr w:type="spellEnd"/>
      <w:r w:rsidRPr="00684FDF">
        <w:rPr>
          <w:rFonts w:ascii="Arial" w:hAnsi="Arial" w:cs="Arial"/>
        </w:rPr>
        <w:t xml:space="preserve"> sobre la culpabilidad del agente delictivo con fundamento en que los celos o el resentimiento del procesado hacia su ex pareja, al haber puesta ésta fin a su relación sentimental no pueden justificar la reacción violenta que llevó a cabo, al estar fuera del marco social de convivencia tales conductas, no pudiendo esgrimirse para atenuar la responsabilidad penal de tal agresión.</w:t>
      </w:r>
    </w:p>
    <w:p w:rsidR="0047172D" w:rsidRPr="00684FDF" w:rsidRDefault="0047172D" w:rsidP="0047172D">
      <w:pPr>
        <w:spacing w:before="100" w:beforeAutospacing="1" w:after="100" w:afterAutospacing="1"/>
        <w:jc w:val="both"/>
        <w:rPr>
          <w:rFonts w:ascii="Arial" w:hAnsi="Arial" w:cs="Arial"/>
        </w:rPr>
      </w:pPr>
      <w:r w:rsidRPr="00684FDF">
        <w:rPr>
          <w:rFonts w:ascii="Arial" w:hAnsi="Arial" w:cs="Arial"/>
        </w:rPr>
        <w:t xml:space="preserve">Hemos dicho reiteradamente que los celos no pueden justificar la atenuante de obrar por un impulso de estado pasional, pues a salvo los casos en que tal reacción tenga una base patológica perfectamente probada, de manera que se disminuya sensiblemente la imputabilidad del agente, las personas deben comprender que la libre determinación sentimental de aquellas otras con las </w:t>
      </w:r>
      <w:r w:rsidRPr="00684FDF">
        <w:rPr>
          <w:rFonts w:ascii="Arial" w:hAnsi="Arial" w:cs="Arial"/>
        </w:rPr>
        <w:lastRenderedPageBreak/>
        <w:t>que se relacionan no puede entrañar el ejercicio de violencia alguna en materia de género.</w:t>
      </w:r>
    </w:p>
    <w:p w:rsidR="0047172D" w:rsidRPr="00684FDF" w:rsidRDefault="0047172D" w:rsidP="0047172D">
      <w:pPr>
        <w:spacing w:before="100" w:beforeAutospacing="1" w:after="100" w:afterAutospacing="1"/>
        <w:jc w:val="both"/>
        <w:rPr>
          <w:rFonts w:ascii="Arial" w:hAnsi="Arial" w:cs="Arial"/>
        </w:rPr>
      </w:pPr>
      <w:r w:rsidRPr="00684FDF">
        <w:rPr>
          <w:rFonts w:ascii="Arial" w:hAnsi="Arial" w:cs="Arial"/>
        </w:rPr>
        <w:t>En efecto, como hemos dicho en STS 357/2005, de 20 de abril, el fundamento de la atenuante del art. 21.3 CP. se encuentra en la disminución de la imputabilidad que se produce por la ofuscación de la mente y de las vivencias pasionales determinados por una alteración  emocional fugaz (arrebato) o por la más persistente de incitación personal (obcecación) pero siempre produciéndose por una causa o estimulo poderoso.</w:t>
      </w:r>
    </w:p>
    <w:p w:rsidR="0047172D" w:rsidRPr="00684FDF" w:rsidRDefault="0047172D" w:rsidP="0047172D">
      <w:pPr>
        <w:spacing w:before="100" w:beforeAutospacing="1" w:after="100" w:afterAutospacing="1"/>
        <w:jc w:val="both"/>
        <w:rPr>
          <w:rFonts w:ascii="Arial" w:hAnsi="Arial" w:cs="Arial"/>
        </w:rPr>
      </w:pPr>
      <w:r w:rsidRPr="00684FDF">
        <w:rPr>
          <w:rFonts w:ascii="Arial" w:hAnsi="Arial" w:cs="Arial"/>
        </w:rPr>
        <w:t>En ambas modalidades precisa para su estimación que haya en su origen un determinante poderoso de carácter exógeno o exterior y de entidad suficiente para desencadenar un estado anímico de perturbación y oscurecimiento de sus facultades psíquicas con disminución de las cognoscitivas o volitivas del agente, de modo que sin alcanzar la cualidad propia del trastorno mental transitorio completo o incompleto, exceda del leve aturdimiento que suele acompañar a ciertas infracciones.</w:t>
      </w:r>
    </w:p>
    <w:p w:rsidR="0047172D" w:rsidRPr="00684FDF" w:rsidRDefault="0047172D" w:rsidP="0047172D">
      <w:pPr>
        <w:spacing w:before="100" w:beforeAutospacing="1" w:after="100" w:afterAutospacing="1"/>
        <w:jc w:val="both"/>
        <w:rPr>
          <w:rFonts w:ascii="Arial" w:hAnsi="Arial" w:cs="Arial"/>
        </w:rPr>
      </w:pPr>
      <w:r w:rsidRPr="00684FDF">
        <w:rPr>
          <w:rFonts w:ascii="Arial" w:hAnsi="Arial" w:cs="Arial"/>
        </w:rPr>
        <w:t xml:space="preserve">Igualmente si no está contrastada la importancia del disturbio provocador, del disturbio emocional en que el arrebato consiste y que ha de tener influencia menguante sobre la imputabilidad del autor a partir de una razonable conexión temporal entre la causa o el estimulo y la equivocación o la pasión con la que se ha actuado, ni deja de exigir una cierta proporcionalidad entre la causa o estimulo y la reacción, calificando la atenuante como "la más subjetivamente matizada", pero "sin desdeñar aspectos objetivos atinentes a la índole y potencialidad de los estímulos, por exigencia de una razonable adecuación </w:t>
      </w:r>
      <w:proofErr w:type="spellStart"/>
      <w:r w:rsidRPr="00684FDF">
        <w:rPr>
          <w:rFonts w:ascii="Arial" w:hAnsi="Arial" w:cs="Arial"/>
        </w:rPr>
        <w:t>reaccional</w:t>
      </w:r>
      <w:proofErr w:type="spellEnd"/>
      <w:r w:rsidRPr="00684FDF">
        <w:rPr>
          <w:rFonts w:ascii="Arial" w:hAnsi="Arial" w:cs="Arial"/>
        </w:rPr>
        <w:t>". Como regla general "el estimulo ha de ser tan importante que permita explicar (que no justificar) la reacción concreta que se produjo. Si esta reacción es algo absolutamente discordante, por exceso notorio, respecto del hecho motivador, no cabe aplicar la atenuación" (STS256/2002, de 13 de febrero).</w:t>
      </w:r>
    </w:p>
    <w:p w:rsidR="0047172D" w:rsidRPr="00684FDF" w:rsidRDefault="0047172D" w:rsidP="0047172D">
      <w:pPr>
        <w:spacing w:before="100" w:beforeAutospacing="1" w:after="100" w:afterAutospacing="1"/>
        <w:jc w:val="both"/>
        <w:rPr>
          <w:rFonts w:ascii="Arial" w:hAnsi="Arial" w:cs="Arial"/>
        </w:rPr>
      </w:pPr>
      <w:r w:rsidRPr="00684FDF">
        <w:rPr>
          <w:rFonts w:ascii="Arial" w:hAnsi="Arial" w:cs="Arial"/>
        </w:rPr>
        <w:t>Además, tales estímulos no han de ser reprochados por las normas socio-culturales que rigen la convivencia social y deben proceder del precedente comportamiento de la víctima, con una relación de causalidad entre los estímulos y el arrebato u obcecación y una conexión temporal, sino inmediatos si próximos, entre la presencia de los estímulos y el surgimiento de la emoción o pasión (SSTS 1110/96 de 20.12, 1479/99 de 18.10).</w:t>
      </w:r>
    </w:p>
    <w:p w:rsidR="0047172D" w:rsidRPr="00684FDF" w:rsidRDefault="0047172D" w:rsidP="0047172D">
      <w:pPr>
        <w:spacing w:before="100" w:beforeAutospacing="1" w:after="100" w:afterAutospacing="1"/>
        <w:jc w:val="both"/>
        <w:rPr>
          <w:rFonts w:ascii="Arial" w:hAnsi="Arial" w:cs="Arial"/>
        </w:rPr>
      </w:pPr>
      <w:r w:rsidRPr="00684FDF">
        <w:rPr>
          <w:rFonts w:ascii="Arial" w:hAnsi="Arial" w:cs="Arial"/>
        </w:rPr>
        <w:t xml:space="preserve">Es preciso también que en el entorno social correspondiente no sean tales estímulos repudiados por la norma socio-cultural imperante, lo que significa que la actuación del agente se ha de producir dentro de un cierto sentido ético ya que su conducta y sus estímulos, no  pueden ser amparada por el Derecho cuando se apoyan en una actitud antisocial reprobada por la conciencia social </w:t>
      </w:r>
      <w:r w:rsidRPr="00684FDF">
        <w:rPr>
          <w:rFonts w:ascii="Arial" w:hAnsi="Arial" w:cs="Arial"/>
        </w:rPr>
        <w:lastRenderedPageBreak/>
        <w:t>imperante, que en esta relación de causa o afecto entre el estimulo desencadenante y la conducta ha de darse una conexión temporal y que cualquier reacción colérica que las que, con frecuencia, acompañan a ciertas acciones delictivas, no basta para la estimación de la atenuante (SSTS 17.11.1998, 15.1.2002).</w:t>
      </w:r>
    </w:p>
    <w:p w:rsidR="0047172D" w:rsidRPr="00684FDF" w:rsidRDefault="0047172D" w:rsidP="0047172D">
      <w:pPr>
        <w:spacing w:before="100" w:beforeAutospacing="1" w:after="100" w:afterAutospacing="1"/>
        <w:jc w:val="both"/>
        <w:rPr>
          <w:rFonts w:ascii="Arial" w:hAnsi="Arial" w:cs="Arial"/>
        </w:rPr>
      </w:pPr>
      <w:r w:rsidRPr="00684FDF">
        <w:rPr>
          <w:rFonts w:ascii="Arial" w:hAnsi="Arial" w:cs="Arial"/>
        </w:rPr>
        <w:t xml:space="preserve">Respecto a los celos las SSTS 3.7.1989 y 14.7.1994, distinguen entre la </w:t>
      </w:r>
      <w:proofErr w:type="spellStart"/>
      <w:r w:rsidRPr="00684FDF">
        <w:rPr>
          <w:rFonts w:ascii="Arial" w:hAnsi="Arial" w:cs="Arial"/>
        </w:rPr>
        <w:t>celopatía</w:t>
      </w:r>
      <w:proofErr w:type="spellEnd"/>
      <w:r w:rsidRPr="00684FDF">
        <w:rPr>
          <w:rFonts w:ascii="Arial" w:hAnsi="Arial" w:cs="Arial"/>
        </w:rPr>
        <w:t xml:space="preserve">, inserta en el síndrome paranoico y la celotipia, como reacción vivencial desproporcionada, lo que puede dar lugar a la apreciación del trastorno mental transitorio completo o incompleto, según su intensidad, en el caso de </w:t>
      </w:r>
      <w:proofErr w:type="spellStart"/>
      <w:r w:rsidRPr="00684FDF">
        <w:rPr>
          <w:rFonts w:ascii="Arial" w:hAnsi="Arial" w:cs="Arial"/>
        </w:rPr>
        <w:t>celopatía</w:t>
      </w:r>
      <w:proofErr w:type="spellEnd"/>
      <w:r w:rsidRPr="00684FDF">
        <w:rPr>
          <w:rFonts w:ascii="Arial" w:hAnsi="Arial" w:cs="Arial"/>
        </w:rPr>
        <w:t xml:space="preserve"> y de la atenuante pasional simple o cualificada, también según su intensidad, en el de la celotipia.</w:t>
      </w:r>
    </w:p>
    <w:p w:rsidR="0047172D" w:rsidRPr="00684FDF" w:rsidRDefault="0047172D" w:rsidP="0047172D">
      <w:pPr>
        <w:spacing w:before="100" w:beforeAutospacing="1" w:after="100" w:afterAutospacing="1"/>
        <w:jc w:val="both"/>
        <w:rPr>
          <w:rFonts w:ascii="Arial" w:hAnsi="Arial" w:cs="Arial"/>
        </w:rPr>
      </w:pPr>
      <w:r w:rsidRPr="00684FDF">
        <w:rPr>
          <w:rFonts w:ascii="Arial" w:hAnsi="Arial" w:cs="Arial"/>
        </w:rPr>
        <w:t>En el caso enjuiciado, no hay base fáctica para apreciar su concurrencia. Los celos no constituyen justificación del arrebato u obcecación (STS 904/2007, de 8 de noviembre). El desafecto o el deseo de poner fin a una relación conyugal o de pareja no puede considerarse como un estímulo poderoso para la parte contraria y no tiene eficacia para sustentar una posible atenuante de arrebato u obcecación (SSTS 1424/2004, de 1 de diciembre y 201/2007, de 16 de marzo).</w:t>
      </w:r>
    </w:p>
    <w:p w:rsidR="0047172D" w:rsidRPr="00684FDF" w:rsidRDefault="0047172D" w:rsidP="0047172D">
      <w:pPr>
        <w:spacing w:before="100" w:beforeAutospacing="1" w:after="100" w:afterAutospacing="1"/>
        <w:jc w:val="both"/>
        <w:rPr>
          <w:rFonts w:ascii="Arial" w:hAnsi="Arial" w:cs="Arial"/>
        </w:rPr>
      </w:pPr>
      <w:r w:rsidRPr="00684FDF">
        <w:rPr>
          <w:rFonts w:ascii="Arial" w:hAnsi="Arial" w:cs="Arial"/>
        </w:rPr>
        <w:t>La ruptura de una relación matrimonial –dice la STS 1340/2000 de 25 de julio– constituye una incidencia que debe ser admitida socialmente, si tenemos en cuenta que las relaciones entre los componentes de la pareja se desenvuelven en un plano de igualdad y plenitud de derechos que inicialmente y dejando a salvo algunas variantes posibles, deben prevalecer en toda clase de relaciones personales. Por ello ninguna de las partes afectadas puede pretender que tiene un derecho superior a imponer su voluntad a la contraria, debiendo admitir que la vía para la solución del conflicto no puede pasar por la utilización de métodos agresivos. La pretensión de reanudar a ultranza unas relaciones conyugales o de pareja, deterioradas por diferencias o enfrentamientos personales, no pueden llevarse hasta el extremo de utilizar la fuerza como único procedimiento para imponer la voluntad del agresor. Quien se sitúa en el plano injustificable de la prepotencia y la superioridad no puede pretender que su conducta se vea beneficiada por un reconocimiento de la disminución de su imputabilidad o culpabilidad.</w:t>
      </w:r>
    </w:p>
    <w:p w:rsidR="0047172D" w:rsidRPr="00684FDF" w:rsidRDefault="0047172D" w:rsidP="0047172D">
      <w:pPr>
        <w:spacing w:before="100" w:beforeAutospacing="1" w:after="100" w:afterAutospacing="1"/>
        <w:jc w:val="both"/>
        <w:rPr>
          <w:rFonts w:ascii="Arial" w:hAnsi="Arial" w:cs="Arial"/>
        </w:rPr>
      </w:pPr>
      <w:r w:rsidRPr="00684FDF">
        <w:rPr>
          <w:rFonts w:ascii="Arial" w:hAnsi="Arial" w:cs="Arial"/>
        </w:rPr>
        <w:t>Los presupuestos de la atenuación deben ser lícitos y acordes con las normas de convivencia. De ahí que no pueda aceptarse como digna de protección una conducta que no hace sino perpetuar una desigualdad de género, manteniendo una especie de protección sobre la mujer con la que se ha convivido (STS 18/2006).</w:t>
      </w:r>
    </w:p>
    <w:p w:rsidR="0047172D" w:rsidRPr="00684FDF" w:rsidRDefault="0047172D" w:rsidP="0047172D">
      <w:pPr>
        <w:spacing w:before="100" w:beforeAutospacing="1" w:after="100" w:afterAutospacing="1"/>
        <w:jc w:val="both"/>
        <w:rPr>
          <w:rFonts w:ascii="Arial" w:hAnsi="Arial" w:cs="Arial"/>
        </w:rPr>
      </w:pPr>
      <w:r w:rsidRPr="00684FDF">
        <w:rPr>
          <w:rFonts w:ascii="Arial" w:hAnsi="Arial" w:cs="Arial"/>
        </w:rPr>
        <w:t xml:space="preserve">En suma –recuerda la STS 61/2010, de 18 de enero– los celos, más allá de aquellos casos en los que son el síntoma de una enfermedad patológica </w:t>
      </w:r>
      <w:r w:rsidRPr="00684FDF">
        <w:rPr>
          <w:rFonts w:ascii="Arial" w:hAnsi="Arial" w:cs="Arial"/>
        </w:rPr>
        <w:lastRenderedPageBreak/>
        <w:t>susceptible de otro tratamiento jurídico-penal, no pueden justificar, con carácter general, la aplicación de la atenuante de arrebato u obcecación, sobre todo, en casos de divorcio, en los que, por definición, renace el derecho de ambos cónyuges a rehacer un proyecto propio de vida afectiva. De lo contrario, estaríamos privilegiando injustificadas reacciones coléricas que, si bien se mira, son expresivas de un espíritu de dominación que nuestro sistema jurídico no puede beneficiar con un tratamiento atenuado de la responsabilidad criminal.</w:t>
      </w:r>
    </w:p>
    <w:p w:rsidR="0047172D" w:rsidRPr="00684FDF" w:rsidRDefault="0047172D" w:rsidP="0047172D">
      <w:pPr>
        <w:spacing w:before="100" w:beforeAutospacing="1" w:after="100" w:afterAutospacing="1"/>
        <w:jc w:val="both"/>
        <w:rPr>
          <w:rFonts w:ascii="Arial" w:hAnsi="Arial" w:cs="Arial"/>
        </w:rPr>
      </w:pPr>
      <w:r w:rsidRPr="00684FDF">
        <w:rPr>
          <w:rFonts w:ascii="Arial" w:hAnsi="Arial" w:cs="Arial"/>
        </w:rPr>
        <w:t>En consecuencia, el motivo no puede prosperar. (...)”</w:t>
      </w:r>
    </w:p>
    <w:p w:rsidR="0047172D" w:rsidRPr="00684FDF" w:rsidRDefault="0047172D" w:rsidP="0047172D">
      <w:pPr>
        <w:jc w:val="both"/>
        <w:rPr>
          <w:rFonts w:ascii="Arial" w:hAnsi="Arial" w:cs="Arial"/>
        </w:rPr>
      </w:pPr>
    </w:p>
    <w:p w:rsidR="001A15CD" w:rsidRDefault="001A15CD" w:rsidP="006B159B">
      <w:pPr>
        <w:spacing w:line="360" w:lineRule="auto"/>
        <w:jc w:val="both"/>
        <w:rPr>
          <w:rFonts w:ascii="Arial" w:hAnsi="Arial" w:cs="Arial"/>
        </w:rPr>
      </w:pPr>
    </w:p>
    <w:p w:rsidR="0047172D" w:rsidRDefault="0047172D" w:rsidP="006B159B">
      <w:pPr>
        <w:spacing w:line="360" w:lineRule="auto"/>
        <w:jc w:val="both"/>
        <w:rPr>
          <w:rFonts w:ascii="Arial" w:hAnsi="Arial" w:cs="Arial"/>
        </w:rPr>
      </w:pPr>
    </w:p>
    <w:p w:rsidR="0047172D" w:rsidRDefault="0047172D" w:rsidP="006B159B">
      <w:pPr>
        <w:spacing w:line="360" w:lineRule="auto"/>
        <w:jc w:val="both"/>
        <w:rPr>
          <w:rFonts w:ascii="Arial" w:hAnsi="Arial" w:cs="Arial"/>
        </w:rPr>
      </w:pPr>
    </w:p>
    <w:p w:rsidR="00AB6707" w:rsidRPr="006B159B" w:rsidRDefault="00AB6707" w:rsidP="006B159B">
      <w:pPr>
        <w:spacing w:line="360" w:lineRule="auto"/>
        <w:jc w:val="both"/>
        <w:rPr>
          <w:rFonts w:ascii="Arial" w:hAnsi="Arial" w:cs="Arial"/>
        </w:rPr>
      </w:pPr>
    </w:p>
    <w:p w:rsidR="00AB6707" w:rsidRPr="006B159B" w:rsidRDefault="00AB6707" w:rsidP="006B159B">
      <w:pPr>
        <w:spacing w:line="360" w:lineRule="auto"/>
        <w:jc w:val="both"/>
        <w:rPr>
          <w:rFonts w:ascii="Arial" w:hAnsi="Arial" w:cs="Arial"/>
        </w:rPr>
      </w:pPr>
    </w:p>
    <w:p w:rsidR="00AB6707" w:rsidRPr="006B159B" w:rsidRDefault="00AB6707" w:rsidP="006B159B">
      <w:pPr>
        <w:spacing w:line="360" w:lineRule="auto"/>
        <w:jc w:val="both"/>
        <w:rPr>
          <w:rFonts w:ascii="Arial" w:hAnsi="Arial" w:cs="Arial"/>
        </w:rPr>
      </w:pPr>
    </w:p>
    <w:p w:rsidR="00AB6707" w:rsidRPr="006B159B" w:rsidRDefault="00AB6707" w:rsidP="006B159B">
      <w:pPr>
        <w:spacing w:line="360" w:lineRule="auto"/>
        <w:jc w:val="both"/>
        <w:rPr>
          <w:rFonts w:ascii="Arial" w:hAnsi="Arial" w:cs="Arial"/>
        </w:rPr>
      </w:pPr>
    </w:p>
    <w:p w:rsidR="00483D29" w:rsidRPr="006B159B" w:rsidRDefault="00483D29" w:rsidP="006B159B">
      <w:pPr>
        <w:spacing w:line="360" w:lineRule="auto"/>
        <w:jc w:val="both"/>
        <w:rPr>
          <w:rFonts w:ascii="Arial" w:hAnsi="Arial" w:cs="Arial"/>
        </w:rPr>
      </w:pPr>
    </w:p>
    <w:p w:rsidR="00483D29" w:rsidRPr="006B159B" w:rsidRDefault="00483D29" w:rsidP="006B159B">
      <w:pPr>
        <w:spacing w:line="360" w:lineRule="auto"/>
        <w:jc w:val="both"/>
        <w:rPr>
          <w:rFonts w:ascii="Arial" w:hAnsi="Arial" w:cs="Arial"/>
        </w:rPr>
      </w:pPr>
    </w:p>
    <w:p w:rsidR="00483D29" w:rsidRPr="006B159B" w:rsidRDefault="00483D29" w:rsidP="006B159B">
      <w:pPr>
        <w:spacing w:line="360" w:lineRule="auto"/>
        <w:jc w:val="both"/>
        <w:rPr>
          <w:rFonts w:ascii="Arial" w:hAnsi="Arial" w:cs="Arial"/>
        </w:rPr>
      </w:pPr>
    </w:p>
    <w:p w:rsidR="00483D29" w:rsidRPr="006B159B" w:rsidRDefault="00483D29" w:rsidP="006B159B">
      <w:pPr>
        <w:spacing w:line="360" w:lineRule="auto"/>
        <w:jc w:val="both"/>
        <w:rPr>
          <w:rFonts w:ascii="Arial" w:hAnsi="Arial" w:cs="Arial"/>
        </w:rPr>
      </w:pPr>
    </w:p>
    <w:p w:rsidR="00483D29" w:rsidRPr="006B159B" w:rsidRDefault="00483D29" w:rsidP="006B159B">
      <w:pPr>
        <w:spacing w:line="360" w:lineRule="auto"/>
        <w:jc w:val="both"/>
        <w:rPr>
          <w:rFonts w:ascii="Arial" w:hAnsi="Arial" w:cs="Arial"/>
        </w:rPr>
      </w:pPr>
    </w:p>
    <w:p w:rsidR="00483D29" w:rsidRPr="006B159B" w:rsidRDefault="00483D29" w:rsidP="006B159B">
      <w:pPr>
        <w:spacing w:line="360" w:lineRule="auto"/>
        <w:jc w:val="both"/>
        <w:rPr>
          <w:rFonts w:ascii="Arial" w:hAnsi="Arial" w:cs="Arial"/>
        </w:rPr>
      </w:pPr>
    </w:p>
    <w:p w:rsidR="00483D29" w:rsidRPr="006B159B" w:rsidRDefault="00483D29" w:rsidP="006B159B">
      <w:pPr>
        <w:spacing w:line="360" w:lineRule="auto"/>
        <w:jc w:val="both"/>
        <w:rPr>
          <w:rFonts w:ascii="Arial" w:hAnsi="Arial" w:cs="Arial"/>
        </w:rPr>
      </w:pPr>
    </w:p>
    <w:p w:rsidR="00D02291" w:rsidRPr="006B159B" w:rsidRDefault="00D02291" w:rsidP="006B159B">
      <w:pPr>
        <w:pStyle w:val="NormalWeb"/>
        <w:spacing w:before="0" w:beforeAutospacing="0" w:after="0" w:afterAutospacing="0" w:line="360" w:lineRule="auto"/>
        <w:jc w:val="both"/>
        <w:rPr>
          <w:rFonts w:ascii="Arial" w:hAnsi="Arial" w:cs="Arial"/>
        </w:rPr>
      </w:pPr>
    </w:p>
    <w:sectPr w:rsidR="00D02291" w:rsidRPr="006B159B" w:rsidSect="00F50D86">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E73" w:rsidRDefault="00681E73">
      <w:r>
        <w:separator/>
      </w:r>
    </w:p>
  </w:endnote>
  <w:endnote w:type="continuationSeparator" w:id="0">
    <w:p w:rsidR="00681E73" w:rsidRDefault="00681E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0355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0355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194D19">
      <w:rPr>
        <w:rStyle w:val="Nmerodepgina"/>
        <w:noProof/>
      </w:rPr>
      <w:t>2</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E73" w:rsidRDefault="00681E73">
      <w:r>
        <w:separator/>
      </w:r>
    </w:p>
  </w:footnote>
  <w:footnote w:type="continuationSeparator" w:id="0">
    <w:p w:rsidR="00681E73" w:rsidRDefault="00681E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0355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0355E"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0355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stylePaneFormatFilter w:val="3F01"/>
  <w:defaultTabStop w:val="708"/>
  <w:hyphenationZone w:val="425"/>
  <w:characterSpacingControl w:val="doNotCompress"/>
  <w:hdrShapeDefaults>
    <o:shapedefaults v:ext="edit" spidmax="6041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5799"/>
    <w:rsid w:val="00005938"/>
    <w:rsid w:val="00017DA5"/>
    <w:rsid w:val="00033CEB"/>
    <w:rsid w:val="000362A9"/>
    <w:rsid w:val="00042584"/>
    <w:rsid w:val="0005559E"/>
    <w:rsid w:val="000677B4"/>
    <w:rsid w:val="000825EC"/>
    <w:rsid w:val="00083E4E"/>
    <w:rsid w:val="00086F28"/>
    <w:rsid w:val="000A133F"/>
    <w:rsid w:val="000B30D9"/>
    <w:rsid w:val="000C2041"/>
    <w:rsid w:val="000C337E"/>
    <w:rsid w:val="000C47AE"/>
    <w:rsid w:val="000C4953"/>
    <w:rsid w:val="000D5D61"/>
    <w:rsid w:val="000F1749"/>
    <w:rsid w:val="0010060C"/>
    <w:rsid w:val="0010178D"/>
    <w:rsid w:val="001360FD"/>
    <w:rsid w:val="00140D3C"/>
    <w:rsid w:val="00142C8E"/>
    <w:rsid w:val="00146353"/>
    <w:rsid w:val="00162E93"/>
    <w:rsid w:val="00163318"/>
    <w:rsid w:val="0016353A"/>
    <w:rsid w:val="00165508"/>
    <w:rsid w:val="00170C4A"/>
    <w:rsid w:val="001765E7"/>
    <w:rsid w:val="001771E6"/>
    <w:rsid w:val="00181091"/>
    <w:rsid w:val="001829D4"/>
    <w:rsid w:val="00194D19"/>
    <w:rsid w:val="001969A3"/>
    <w:rsid w:val="001A15CD"/>
    <w:rsid w:val="001A6D78"/>
    <w:rsid w:val="001C0F7E"/>
    <w:rsid w:val="001C6A86"/>
    <w:rsid w:val="001D7106"/>
    <w:rsid w:val="001E0A4E"/>
    <w:rsid w:val="001E0D97"/>
    <w:rsid w:val="001E5F6F"/>
    <w:rsid w:val="001F194A"/>
    <w:rsid w:val="00202275"/>
    <w:rsid w:val="00206865"/>
    <w:rsid w:val="00222D9D"/>
    <w:rsid w:val="00224282"/>
    <w:rsid w:val="00232DFC"/>
    <w:rsid w:val="00247F1A"/>
    <w:rsid w:val="002503E9"/>
    <w:rsid w:val="00250B2A"/>
    <w:rsid w:val="00255846"/>
    <w:rsid w:val="00267153"/>
    <w:rsid w:val="002744D4"/>
    <w:rsid w:val="002759CE"/>
    <w:rsid w:val="00283E8B"/>
    <w:rsid w:val="00284FAC"/>
    <w:rsid w:val="002A2EE4"/>
    <w:rsid w:val="002A6352"/>
    <w:rsid w:val="002B268C"/>
    <w:rsid w:val="002B579C"/>
    <w:rsid w:val="002C2243"/>
    <w:rsid w:val="002D2ED2"/>
    <w:rsid w:val="002D32FE"/>
    <w:rsid w:val="002F6D88"/>
    <w:rsid w:val="002F7B53"/>
    <w:rsid w:val="003067DF"/>
    <w:rsid w:val="00320289"/>
    <w:rsid w:val="00323572"/>
    <w:rsid w:val="00323FC4"/>
    <w:rsid w:val="00326C83"/>
    <w:rsid w:val="00332AC6"/>
    <w:rsid w:val="00332F1F"/>
    <w:rsid w:val="00357DD2"/>
    <w:rsid w:val="0036668D"/>
    <w:rsid w:val="00373292"/>
    <w:rsid w:val="00374027"/>
    <w:rsid w:val="003A3123"/>
    <w:rsid w:val="003A359A"/>
    <w:rsid w:val="003B5346"/>
    <w:rsid w:val="003D0308"/>
    <w:rsid w:val="003D1CE9"/>
    <w:rsid w:val="003D5A4F"/>
    <w:rsid w:val="003E5D44"/>
    <w:rsid w:val="003E66C1"/>
    <w:rsid w:val="003E7310"/>
    <w:rsid w:val="003F11D6"/>
    <w:rsid w:val="003F6C38"/>
    <w:rsid w:val="004026DE"/>
    <w:rsid w:val="00403FB6"/>
    <w:rsid w:val="004069A0"/>
    <w:rsid w:val="00424E68"/>
    <w:rsid w:val="004310CD"/>
    <w:rsid w:val="0044211B"/>
    <w:rsid w:val="00445C86"/>
    <w:rsid w:val="00447A97"/>
    <w:rsid w:val="00447B6D"/>
    <w:rsid w:val="00453887"/>
    <w:rsid w:val="00464DB2"/>
    <w:rsid w:val="004712E1"/>
    <w:rsid w:val="0047172D"/>
    <w:rsid w:val="00472F61"/>
    <w:rsid w:val="00475782"/>
    <w:rsid w:val="0048064B"/>
    <w:rsid w:val="004813E1"/>
    <w:rsid w:val="0048268F"/>
    <w:rsid w:val="00483D29"/>
    <w:rsid w:val="004856E9"/>
    <w:rsid w:val="0048734A"/>
    <w:rsid w:val="004A2021"/>
    <w:rsid w:val="004A6D3B"/>
    <w:rsid w:val="004B28BD"/>
    <w:rsid w:val="004C4D7A"/>
    <w:rsid w:val="004C5EF2"/>
    <w:rsid w:val="004D4741"/>
    <w:rsid w:val="004D4815"/>
    <w:rsid w:val="004D7C75"/>
    <w:rsid w:val="004E0928"/>
    <w:rsid w:val="004F1AE6"/>
    <w:rsid w:val="004F4321"/>
    <w:rsid w:val="004F7038"/>
    <w:rsid w:val="00502F2D"/>
    <w:rsid w:val="005111CB"/>
    <w:rsid w:val="00511F20"/>
    <w:rsid w:val="00530120"/>
    <w:rsid w:val="005310EF"/>
    <w:rsid w:val="005314CC"/>
    <w:rsid w:val="0053730B"/>
    <w:rsid w:val="00537E4E"/>
    <w:rsid w:val="005537F8"/>
    <w:rsid w:val="00554FD4"/>
    <w:rsid w:val="00555B56"/>
    <w:rsid w:val="005636FA"/>
    <w:rsid w:val="00573B2A"/>
    <w:rsid w:val="00577EC0"/>
    <w:rsid w:val="00586A96"/>
    <w:rsid w:val="005913E9"/>
    <w:rsid w:val="00595E1F"/>
    <w:rsid w:val="005B364E"/>
    <w:rsid w:val="005C19B9"/>
    <w:rsid w:val="005C523E"/>
    <w:rsid w:val="005D7F03"/>
    <w:rsid w:val="005E548E"/>
    <w:rsid w:val="005F7C83"/>
    <w:rsid w:val="00621861"/>
    <w:rsid w:val="00632790"/>
    <w:rsid w:val="00657119"/>
    <w:rsid w:val="006636A4"/>
    <w:rsid w:val="00664269"/>
    <w:rsid w:val="00676AA2"/>
    <w:rsid w:val="00681E73"/>
    <w:rsid w:val="006877B4"/>
    <w:rsid w:val="006928C9"/>
    <w:rsid w:val="006949F3"/>
    <w:rsid w:val="006A4E17"/>
    <w:rsid w:val="006A5309"/>
    <w:rsid w:val="006B159B"/>
    <w:rsid w:val="006C0996"/>
    <w:rsid w:val="006C350A"/>
    <w:rsid w:val="006C640B"/>
    <w:rsid w:val="006D4E8D"/>
    <w:rsid w:val="006D5D22"/>
    <w:rsid w:val="006E73A1"/>
    <w:rsid w:val="006E74F1"/>
    <w:rsid w:val="006F4431"/>
    <w:rsid w:val="006F6E0F"/>
    <w:rsid w:val="00701F10"/>
    <w:rsid w:val="00722C56"/>
    <w:rsid w:val="0072781A"/>
    <w:rsid w:val="00731EBB"/>
    <w:rsid w:val="00741184"/>
    <w:rsid w:val="007419EB"/>
    <w:rsid w:val="00760140"/>
    <w:rsid w:val="00765E89"/>
    <w:rsid w:val="00772E66"/>
    <w:rsid w:val="00786044"/>
    <w:rsid w:val="00792B95"/>
    <w:rsid w:val="007969C0"/>
    <w:rsid w:val="007A19AF"/>
    <w:rsid w:val="007A1D46"/>
    <w:rsid w:val="007A34C4"/>
    <w:rsid w:val="007A6627"/>
    <w:rsid w:val="007C19AA"/>
    <w:rsid w:val="007C19D7"/>
    <w:rsid w:val="007C1D60"/>
    <w:rsid w:val="007C312B"/>
    <w:rsid w:val="007C669E"/>
    <w:rsid w:val="008343D7"/>
    <w:rsid w:val="00841973"/>
    <w:rsid w:val="00843326"/>
    <w:rsid w:val="00845420"/>
    <w:rsid w:val="00855B9F"/>
    <w:rsid w:val="00870EF6"/>
    <w:rsid w:val="00872127"/>
    <w:rsid w:val="008802B6"/>
    <w:rsid w:val="008839CF"/>
    <w:rsid w:val="0088710E"/>
    <w:rsid w:val="00890667"/>
    <w:rsid w:val="00895754"/>
    <w:rsid w:val="008A7198"/>
    <w:rsid w:val="008B1379"/>
    <w:rsid w:val="008B271D"/>
    <w:rsid w:val="008B475A"/>
    <w:rsid w:val="008E5B16"/>
    <w:rsid w:val="008E7057"/>
    <w:rsid w:val="008F00DE"/>
    <w:rsid w:val="008F4096"/>
    <w:rsid w:val="008F6439"/>
    <w:rsid w:val="0090382B"/>
    <w:rsid w:val="00911185"/>
    <w:rsid w:val="00911495"/>
    <w:rsid w:val="00911FEA"/>
    <w:rsid w:val="0091400C"/>
    <w:rsid w:val="00914687"/>
    <w:rsid w:val="00920163"/>
    <w:rsid w:val="009227EE"/>
    <w:rsid w:val="009416AE"/>
    <w:rsid w:val="009422B8"/>
    <w:rsid w:val="009426CD"/>
    <w:rsid w:val="009438A7"/>
    <w:rsid w:val="00947BA6"/>
    <w:rsid w:val="009653C8"/>
    <w:rsid w:val="00971FA9"/>
    <w:rsid w:val="009725D8"/>
    <w:rsid w:val="00982CBB"/>
    <w:rsid w:val="00983DAD"/>
    <w:rsid w:val="00993871"/>
    <w:rsid w:val="009B39B1"/>
    <w:rsid w:val="009B433E"/>
    <w:rsid w:val="009B6BE2"/>
    <w:rsid w:val="009B7116"/>
    <w:rsid w:val="009C162D"/>
    <w:rsid w:val="009C6D7B"/>
    <w:rsid w:val="009E0EF0"/>
    <w:rsid w:val="009F140E"/>
    <w:rsid w:val="009F333D"/>
    <w:rsid w:val="00A00301"/>
    <w:rsid w:val="00A00E65"/>
    <w:rsid w:val="00A07993"/>
    <w:rsid w:val="00A108F5"/>
    <w:rsid w:val="00A14E96"/>
    <w:rsid w:val="00A22B86"/>
    <w:rsid w:val="00A26AB9"/>
    <w:rsid w:val="00A26B35"/>
    <w:rsid w:val="00A3314E"/>
    <w:rsid w:val="00A5336A"/>
    <w:rsid w:val="00A53757"/>
    <w:rsid w:val="00A8339A"/>
    <w:rsid w:val="00A83D2C"/>
    <w:rsid w:val="00A96918"/>
    <w:rsid w:val="00A96FFE"/>
    <w:rsid w:val="00AA7BA7"/>
    <w:rsid w:val="00AB6707"/>
    <w:rsid w:val="00AC0E7B"/>
    <w:rsid w:val="00AC2E6D"/>
    <w:rsid w:val="00AE7F81"/>
    <w:rsid w:val="00AF0E4C"/>
    <w:rsid w:val="00B00F10"/>
    <w:rsid w:val="00B01332"/>
    <w:rsid w:val="00B0481C"/>
    <w:rsid w:val="00B226F2"/>
    <w:rsid w:val="00B267C7"/>
    <w:rsid w:val="00B30A91"/>
    <w:rsid w:val="00B3697E"/>
    <w:rsid w:val="00B70728"/>
    <w:rsid w:val="00B75112"/>
    <w:rsid w:val="00B81103"/>
    <w:rsid w:val="00B962CF"/>
    <w:rsid w:val="00BA697C"/>
    <w:rsid w:val="00BB23CF"/>
    <w:rsid w:val="00BB37AC"/>
    <w:rsid w:val="00BC65E7"/>
    <w:rsid w:val="00BC76E9"/>
    <w:rsid w:val="00BE3E2D"/>
    <w:rsid w:val="00C06DF8"/>
    <w:rsid w:val="00C12F38"/>
    <w:rsid w:val="00C23C6B"/>
    <w:rsid w:val="00C255CE"/>
    <w:rsid w:val="00C512FC"/>
    <w:rsid w:val="00C65388"/>
    <w:rsid w:val="00C74FA9"/>
    <w:rsid w:val="00C76228"/>
    <w:rsid w:val="00CA103B"/>
    <w:rsid w:val="00CA1E91"/>
    <w:rsid w:val="00CA250D"/>
    <w:rsid w:val="00CA7482"/>
    <w:rsid w:val="00CC4A28"/>
    <w:rsid w:val="00CD0F80"/>
    <w:rsid w:val="00CD4A33"/>
    <w:rsid w:val="00CE207A"/>
    <w:rsid w:val="00CE253C"/>
    <w:rsid w:val="00CF48C2"/>
    <w:rsid w:val="00D02291"/>
    <w:rsid w:val="00D04FB9"/>
    <w:rsid w:val="00D06A14"/>
    <w:rsid w:val="00D07FF9"/>
    <w:rsid w:val="00D144CA"/>
    <w:rsid w:val="00D170D1"/>
    <w:rsid w:val="00D2098C"/>
    <w:rsid w:val="00D20FA5"/>
    <w:rsid w:val="00D23363"/>
    <w:rsid w:val="00D23529"/>
    <w:rsid w:val="00D33F86"/>
    <w:rsid w:val="00D40796"/>
    <w:rsid w:val="00D417E1"/>
    <w:rsid w:val="00D44DD9"/>
    <w:rsid w:val="00D46CBA"/>
    <w:rsid w:val="00D549E0"/>
    <w:rsid w:val="00D557E5"/>
    <w:rsid w:val="00D60A2F"/>
    <w:rsid w:val="00D65397"/>
    <w:rsid w:val="00D6655E"/>
    <w:rsid w:val="00D677E7"/>
    <w:rsid w:val="00D71DD8"/>
    <w:rsid w:val="00D74366"/>
    <w:rsid w:val="00D83636"/>
    <w:rsid w:val="00D840C3"/>
    <w:rsid w:val="00D91BBD"/>
    <w:rsid w:val="00D93BDB"/>
    <w:rsid w:val="00DA5CEF"/>
    <w:rsid w:val="00DB107B"/>
    <w:rsid w:val="00DC1095"/>
    <w:rsid w:val="00DC1455"/>
    <w:rsid w:val="00DC2219"/>
    <w:rsid w:val="00DD1B7E"/>
    <w:rsid w:val="00DF069E"/>
    <w:rsid w:val="00DF2C68"/>
    <w:rsid w:val="00E00F46"/>
    <w:rsid w:val="00E058E4"/>
    <w:rsid w:val="00E116DF"/>
    <w:rsid w:val="00E123C5"/>
    <w:rsid w:val="00E15970"/>
    <w:rsid w:val="00E51257"/>
    <w:rsid w:val="00E75290"/>
    <w:rsid w:val="00E803DC"/>
    <w:rsid w:val="00EA76F3"/>
    <w:rsid w:val="00EB32D4"/>
    <w:rsid w:val="00EB47E7"/>
    <w:rsid w:val="00EB53BE"/>
    <w:rsid w:val="00EB5DEB"/>
    <w:rsid w:val="00EC0F42"/>
    <w:rsid w:val="00EC4C56"/>
    <w:rsid w:val="00EC65E3"/>
    <w:rsid w:val="00ED148D"/>
    <w:rsid w:val="00ED2338"/>
    <w:rsid w:val="00EE229B"/>
    <w:rsid w:val="00EE7B55"/>
    <w:rsid w:val="00EF3860"/>
    <w:rsid w:val="00EF669D"/>
    <w:rsid w:val="00F0355E"/>
    <w:rsid w:val="00F064C2"/>
    <w:rsid w:val="00F14190"/>
    <w:rsid w:val="00F144D9"/>
    <w:rsid w:val="00F2402F"/>
    <w:rsid w:val="00F3117E"/>
    <w:rsid w:val="00F338AF"/>
    <w:rsid w:val="00F34A5F"/>
    <w:rsid w:val="00F361D2"/>
    <w:rsid w:val="00F43004"/>
    <w:rsid w:val="00F50A25"/>
    <w:rsid w:val="00F50D86"/>
    <w:rsid w:val="00F53EA7"/>
    <w:rsid w:val="00F56E96"/>
    <w:rsid w:val="00F606E4"/>
    <w:rsid w:val="00F76C6A"/>
    <w:rsid w:val="00F86132"/>
    <w:rsid w:val="00F876FB"/>
    <w:rsid w:val="00FA3CE9"/>
    <w:rsid w:val="00FA6E90"/>
    <w:rsid w:val="00FB0C8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iPriority w:val="99"/>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uiPriority w:val="20"/>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6CFB8-3E51-444F-8810-EC82470D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1347</Words>
  <Characters>7412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8742</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2016-01-05T21:44:00Z</cp:lastPrinted>
  <dcterms:created xsi:type="dcterms:W3CDTF">2016-01-05T21:44:00Z</dcterms:created>
  <dcterms:modified xsi:type="dcterms:W3CDTF">2016-01-05T21:45:00Z</dcterms:modified>
</cp:coreProperties>
</file>