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3E" w:rsidRPr="00486A3C" w:rsidRDefault="0012153E" w:rsidP="0012153E">
      <w:pPr>
        <w:jc w:val="both"/>
        <w:rPr>
          <w:rFonts w:ascii="Arial" w:hAnsi="Arial" w:cs="Arial"/>
          <w:b/>
        </w:rPr>
      </w:pPr>
    </w:p>
    <w:p w:rsidR="008D7B72" w:rsidRPr="00486A3C" w:rsidRDefault="00736F1B" w:rsidP="008D7B72">
      <w:pPr>
        <w:spacing w:before="100" w:beforeAutospacing="1" w:after="100" w:afterAutospacing="1"/>
        <w:jc w:val="both"/>
        <w:rPr>
          <w:rFonts w:ascii="Arial" w:hAnsi="Arial" w:cs="Arial"/>
          <w:b/>
        </w:rPr>
      </w:pPr>
      <w:r w:rsidRPr="00486A3C">
        <w:rPr>
          <w:rFonts w:ascii="Arial" w:hAnsi="Arial" w:cs="Arial"/>
          <w:b/>
        </w:rPr>
        <w:t xml:space="preserve"> </w:t>
      </w:r>
    </w:p>
    <w:p w:rsidR="00736F1B" w:rsidRPr="00486A3C" w:rsidRDefault="00736F1B" w:rsidP="00736F1B">
      <w:pPr>
        <w:pStyle w:val="Ttulo1"/>
        <w:spacing w:before="0" w:line="240" w:lineRule="atLeast"/>
        <w:jc w:val="both"/>
        <w:rPr>
          <w:rFonts w:ascii="Arial" w:hAnsi="Arial" w:cs="Arial"/>
          <w:color w:val="auto"/>
          <w:sz w:val="24"/>
          <w:szCs w:val="24"/>
        </w:rPr>
      </w:pPr>
      <w:r w:rsidRPr="00486A3C">
        <w:rPr>
          <w:rFonts w:ascii="Arial" w:hAnsi="Arial" w:cs="Arial"/>
          <w:color w:val="auto"/>
          <w:sz w:val="24"/>
          <w:szCs w:val="24"/>
        </w:rPr>
        <w:t xml:space="preserve">ES VÁLIDA LA VENTA DE UNA CUOTA HEREDITARIA EN DOCUMENTO PRIVADO     </w:t>
      </w:r>
    </w:p>
    <w:p w:rsidR="00736F1B" w:rsidRPr="00486A3C" w:rsidRDefault="00736F1B" w:rsidP="00736F1B">
      <w:pPr>
        <w:spacing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ES VÁLIDA LA TRANSMISIÓN DE LA TERCERA PARTE DE UN INMUEBLE, QUE SUPONE LA CUOTA HEREDITARIA DE LA VENDEDORA, MEDIANTE UN DOCUMENTO PRIVADO, SEGÚN ESTABLECE EL TRIBUNAL SUPREMO EN UNA SENTENCIA, DE 2 DE JULIO DE 2014.</w:t>
      </w:r>
    </w:p>
    <w:p w:rsidR="00736F1B" w:rsidRPr="00486A3C" w:rsidRDefault="00736F1B" w:rsidP="00736F1B">
      <w:pPr>
        <w:pStyle w:val="NormalWeb"/>
        <w:spacing w:before="0" w:beforeAutospacing="0" w:after="0"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 xml:space="preserve">EL PONENTE, EL MAGISTRADO O'CALLAGHAN MUÑOZ, RAZONA QUE LA PRIMERA FASE DEL FENÓMENO SUCESORIO ES LA APERTURA DE LA SUCESIÓN PRODUCIDA POR LA MUERTE DEL CAUSANTE, COMO EXPRESA EL ARTÍCULO 657 DEL CÓDIGO </w:t>
      </w:r>
      <w:proofErr w:type="gramStart"/>
      <w:r w:rsidRPr="00486A3C">
        <w:rPr>
          <w:rFonts w:ascii="Arial" w:hAnsi="Arial" w:cs="Arial"/>
          <w:b/>
        </w:rPr>
        <w:t>CIVIL .</w:t>
      </w:r>
      <w:proofErr w:type="gramEnd"/>
      <w:r w:rsidRPr="00486A3C">
        <w:rPr>
          <w:rFonts w:ascii="Arial" w:hAnsi="Arial" w:cs="Arial"/>
          <w:b/>
        </w:rPr>
        <w:t xml:space="preserve"> </w:t>
      </w:r>
    </w:p>
    <w:p w:rsidR="00736F1B" w:rsidRPr="00486A3C" w:rsidRDefault="00736F1B" w:rsidP="00736F1B">
      <w:pPr>
        <w:pStyle w:val="NormalWeb"/>
        <w:spacing w:before="0" w:beforeAutospacing="0" w:after="0"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 xml:space="preserve">A ESTA PRIMERA FASE SIGUE LA DELACIÓN, COMO OFRECIMIENTO CONCRETO DE LA HERENCIA QUE PUEDE SER ACEPTADA, QUE HA SIDO PRECEDIDO -NORMALMENTE CON SIMULTANEIDAD- POR LA VOCACIÓN, COMO LLAMAMIENTO ABSTRACTO (ASÍ LO EXPRESA LA SENTENCIA DEL TRIBUNAL SUPREMO, DE 4 MAYO </w:t>
      </w:r>
      <w:proofErr w:type="gramStart"/>
      <w:r w:rsidRPr="00486A3C">
        <w:rPr>
          <w:rFonts w:ascii="Arial" w:hAnsi="Arial" w:cs="Arial"/>
          <w:b/>
        </w:rPr>
        <w:t>2005 )</w:t>
      </w:r>
      <w:proofErr w:type="gramEnd"/>
      <w:r w:rsidRPr="00486A3C">
        <w:rPr>
          <w:rFonts w:ascii="Arial" w:hAnsi="Arial" w:cs="Arial"/>
          <w:b/>
        </w:rPr>
        <w:t xml:space="preserve"> Y, CON BASE EN LA DELACIÓN, EL HEREDERO ADQUIERE LA HERENCIA POR MEDIO DE LA ACEPTACIÓN (ARTÍCULO 991 DEL CÓDIGO CIVIL ) QUE PUEDE SER EXPRESA O TÁCITA (ARTÍCULO 999). </w:t>
      </w:r>
    </w:p>
    <w:p w:rsidR="00736F1B" w:rsidRPr="00486A3C" w:rsidRDefault="00736F1B" w:rsidP="00736F1B"/>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ASÍ, CUANDO LA HEREDERA, MADRE DE LA RECURRENTE, VENDE SU DERECHO A UN EXTRAÑO A LOS HEREDEROS (TAL COMO DICE EL DEL ARTÍCULO 1.000.1º) ACEPTA TÁCITAMENTE LA HERENCIA Y SU ACTO DE DISPOSICIÓN NO ES DEL IUS DELATIONIS, SINO DE LA PARTE DE HERENCIA QUE ACEPTA POR ESTE MISMO ACTO Y, POR ENDE, HA ADQUIRIDO YA EL BIEN O PARTE DEL MISMO OBJETO DE LA HERENCIA.</w:t>
      </w:r>
    </w:p>
    <w:p w:rsidR="00736F1B" w:rsidRPr="00486A3C" w:rsidRDefault="00736F1B" w:rsidP="00736F1B">
      <w:pPr>
        <w:pStyle w:val="NormalWeb"/>
        <w:spacing w:before="0" w:beforeAutospacing="0" w:after="0"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 xml:space="preserve">EN TODO CASO, MANIFIESTA LA </w:t>
      </w:r>
      <w:hyperlink r:id="rId8" w:history="1">
        <w:r w:rsidRPr="00486A3C">
          <w:rPr>
            <w:rStyle w:val="Hipervnculo"/>
            <w:rFonts w:ascii="Arial" w:hAnsi="Arial" w:cs="Arial"/>
            <w:b/>
            <w:color w:val="auto"/>
            <w:u w:val="none"/>
          </w:rPr>
          <w:t>SENTENCIA</w:t>
        </w:r>
      </w:hyperlink>
      <w:r w:rsidRPr="00486A3C">
        <w:rPr>
          <w:rFonts w:ascii="Arial" w:hAnsi="Arial" w:cs="Arial"/>
          <w:b/>
        </w:rPr>
        <w:t>, LA ACEPTACIÓN TÁCITA EXIGE "ACTOS CLAROS Y PRECISOS QUE REVELEN LA VOLUNTAD INEQUÍVOCA DE ACEPTAR LA HERENCIA" COMO HA DICHO LA SENTENCIA DE 27 JUNIO 2000.</w:t>
      </w:r>
    </w:p>
    <w:p w:rsidR="00736F1B" w:rsidRPr="00486A3C" w:rsidRDefault="00736F1B" w:rsidP="00736F1B">
      <w:pPr>
        <w:pStyle w:val="NormalWeb"/>
        <w:spacing w:before="0" w:beforeAutospacing="0" w:after="0"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EN CONSECUENCIA, SE HABRÍAN INFRINGIDO LOS ARTÍCULOS CITADOS SI LA HEREDERA HUBIERA VENDIDO TODA LA CASA, PERO SÓLO VENDIÓ SU TERCIO, ACEPTANDO ASÍ LA HERENCIA Y DISPONIENDO DE LO QUE LE CORRESPONDÍA, CONFORME CONTEMPLA EL ARTÍCULO 1000.1º DEL CÓDIGO CIVIL.</w:t>
      </w:r>
    </w:p>
    <w:p w:rsidR="00736F1B" w:rsidRPr="00486A3C" w:rsidRDefault="00736F1B" w:rsidP="00736F1B">
      <w:pPr>
        <w:pStyle w:val="NormalWeb"/>
        <w:spacing w:before="0" w:beforeAutospacing="0" w:after="0"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POR TANTO, REMARCA O'CALLAGHAN MUÑOZ, SE TRATA DE UN ACTO LÍCITO QUE DA LUGAR A LA VALIDEZ DE LOS SUCESIVOS CONTRATOS QUE, A TRAVÉS DE UN TRACTO SUCESIVO, LLEGAN A LOS DEMANDANTES.</w:t>
      </w:r>
    </w:p>
    <w:p w:rsidR="00736F1B" w:rsidRPr="00486A3C" w:rsidRDefault="00736F1B" w:rsidP="00736F1B">
      <w:pPr>
        <w:pStyle w:val="NormalWeb"/>
        <w:spacing w:before="0" w:beforeAutospacing="0" w:after="0"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DETERMINA QUE NO SE HA PRODUCIDO INFRACCIÓN ALGUNA DEL ARTÍCULO 1.257 DEL CÓDIGO CIVIL QUE DISPONE -Y CORROBORA LA JURISPRUDENCIA- LA EFICACIA INTER PARTES DE LOS CONTRATOS, QUE NO ALCANZA A LOS TERCEROS QUE NO LO HAN SIDO.</w:t>
      </w:r>
    </w:p>
    <w:p w:rsidR="00736F1B" w:rsidRPr="00486A3C" w:rsidRDefault="00736F1B" w:rsidP="00736F1B">
      <w:pPr>
        <w:pStyle w:val="NormalWeb"/>
        <w:spacing w:before="0" w:beforeAutospacing="0" w:after="0"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LO CUAL ES INDUDABLE Y NO SE PONE EN DUDA, SINO QUE LA SERIE DE CONTRATOS ACREDITAN EL TRACTO HASTA LLEGAR A LA ADQUISICIÓN DEL DOMINIO POR PARTE DE LOS DEMANDANTES. "LA CUESTIÓN DE FONDO SE MEZCLA CON EL TEMA DE LA LEGITIMACIÓN ACTIVA Y PASIVA QUE VA INDISOLUBLEMENTE LIGADA A AQUÉLLA", AFIRMA.</w:t>
      </w:r>
    </w:p>
    <w:p w:rsidR="00736F1B" w:rsidRPr="00486A3C" w:rsidRDefault="00736F1B" w:rsidP="00736F1B">
      <w:pPr>
        <w:pStyle w:val="NormalWeb"/>
        <w:spacing w:before="0" w:beforeAutospacing="0" w:after="0" w:line="240" w:lineRule="atLeast"/>
        <w:jc w:val="both"/>
        <w:rPr>
          <w:rFonts w:ascii="Arial" w:hAnsi="Arial" w:cs="Arial"/>
          <w:b/>
        </w:rPr>
      </w:pPr>
    </w:p>
    <w:p w:rsidR="00736F1B" w:rsidRPr="00486A3C" w:rsidRDefault="00736F1B" w:rsidP="00736F1B">
      <w:pPr>
        <w:pStyle w:val="NormalWeb"/>
        <w:spacing w:before="0" w:beforeAutospacing="0" w:after="0" w:line="240" w:lineRule="atLeast"/>
        <w:jc w:val="both"/>
        <w:rPr>
          <w:rFonts w:ascii="Arial" w:hAnsi="Arial" w:cs="Arial"/>
          <w:b/>
        </w:rPr>
      </w:pPr>
      <w:r w:rsidRPr="00486A3C">
        <w:rPr>
          <w:rFonts w:ascii="Arial" w:hAnsi="Arial" w:cs="Arial"/>
          <w:b/>
        </w:rPr>
        <w:t>CONCLUYE, PUES, QUE LOS CONTRATOS HAN TENIDO EFICACIA TRANSMISIVA RESPECTO A LAS PARTES, NO MÁS. Y ESTA EFICACIA SE HA TRANSMITIDO A LOS SUCESIVOS ADQUIRENTES QUE HAN INTERESADO LA DECLARACIÓN DE SU DOMINIO. SU RELACIÓN CON EL FONDO DEL ASUNTO ES CLARA Y SU LEGITIMACIÓN ACTIVA EVIDENTE.</w:t>
      </w:r>
    </w:p>
    <w:p w:rsidR="00736F1B" w:rsidRPr="00486A3C" w:rsidRDefault="00736F1B" w:rsidP="00736F1B">
      <w:pPr>
        <w:shd w:val="clear" w:color="auto" w:fill="FFFFFF"/>
        <w:spacing w:line="240" w:lineRule="atLeast"/>
        <w:jc w:val="both"/>
        <w:rPr>
          <w:rFonts w:ascii="Arial" w:hAnsi="Arial" w:cs="Arial"/>
          <w:b/>
        </w:rPr>
      </w:pPr>
      <w:r w:rsidRPr="00486A3C">
        <w:rPr>
          <w:rFonts w:ascii="Arial" w:hAnsi="Arial" w:cs="Arial"/>
          <w:b/>
        </w:rPr>
        <w:br/>
        <w:t xml:space="preserve">  </w:t>
      </w:r>
    </w:p>
    <w:p w:rsidR="00736F1B" w:rsidRPr="00486A3C" w:rsidRDefault="00736F1B" w:rsidP="00736F1B">
      <w:pPr>
        <w:spacing w:line="240" w:lineRule="atLeast"/>
        <w:jc w:val="both"/>
        <w:rPr>
          <w:rFonts w:ascii="Arial" w:hAnsi="Arial" w:cs="Arial"/>
          <w:b/>
        </w:rPr>
      </w:pPr>
    </w:p>
    <w:p w:rsidR="008D7B72" w:rsidRPr="00486A3C" w:rsidRDefault="008D7B72" w:rsidP="008D7B72">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8D7B72" w:rsidRPr="00486A3C" w:rsidRDefault="008D7B72" w:rsidP="0012153E">
      <w:pPr>
        <w:jc w:val="both"/>
        <w:rPr>
          <w:rFonts w:ascii="Arial" w:hAnsi="Arial" w:cs="Arial"/>
          <w:b/>
        </w:rPr>
      </w:pPr>
    </w:p>
    <w:p w:rsidR="0012153E" w:rsidRPr="00486A3C" w:rsidRDefault="0012153E" w:rsidP="0012153E">
      <w:pPr>
        <w:jc w:val="both"/>
        <w:rPr>
          <w:rFonts w:ascii="Arial" w:hAnsi="Arial" w:cs="Arial"/>
          <w:b/>
        </w:rPr>
      </w:pPr>
    </w:p>
    <w:p w:rsidR="002B28AC" w:rsidRPr="00486A3C" w:rsidRDefault="008D7B72" w:rsidP="001A63ED">
      <w:pPr>
        <w:jc w:val="both"/>
        <w:rPr>
          <w:rFonts w:ascii="Arial" w:hAnsi="Arial" w:cs="Arial"/>
          <w:b/>
        </w:rPr>
      </w:pPr>
      <w:r w:rsidRPr="00486A3C">
        <w:rPr>
          <w:rFonts w:ascii="Arial" w:hAnsi="Arial" w:cs="Arial"/>
          <w:b/>
        </w:rPr>
        <w:t xml:space="preserve"> </w:t>
      </w:r>
    </w:p>
    <w:p w:rsidR="008C759A" w:rsidRPr="00486A3C" w:rsidRDefault="008C759A" w:rsidP="001A63ED">
      <w:pPr>
        <w:jc w:val="both"/>
        <w:rPr>
          <w:rFonts w:ascii="Arial" w:hAnsi="Arial" w:cs="Arial"/>
          <w:b/>
        </w:rPr>
      </w:pPr>
      <w:r w:rsidRPr="00486A3C">
        <w:rPr>
          <w:rFonts w:ascii="Arial" w:hAnsi="Arial" w:cs="Arial"/>
          <w:b/>
          <w:noProof/>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9"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r w:rsidRPr="00486A3C">
        <w:rPr>
          <w:rFonts w:ascii="Arial" w:hAnsi="Arial" w:cs="Arial"/>
          <w:b/>
          <w:noProof/>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0"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8C759A" w:rsidRPr="00486A3C" w:rsidRDefault="008C759A"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8C759A" w:rsidP="001A63ED">
      <w:pPr>
        <w:jc w:val="both"/>
        <w:rPr>
          <w:rFonts w:ascii="Arial" w:hAnsi="Arial" w:cs="Arial"/>
          <w:b/>
        </w:rPr>
      </w:pPr>
      <w:r w:rsidRPr="00486A3C">
        <w:rPr>
          <w:rFonts w:ascii="Arial" w:hAnsi="Arial" w:cs="Arial"/>
          <w:b/>
          <w:noProof/>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1"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r w:rsidRPr="00486A3C">
        <w:rPr>
          <w:rFonts w:ascii="Arial" w:hAnsi="Arial" w:cs="Arial"/>
          <w:b/>
          <w:noProof/>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112F07" w:rsidRPr="00486A3C" w:rsidRDefault="00112F07" w:rsidP="001A63ED">
      <w:pPr>
        <w:jc w:val="both"/>
        <w:rPr>
          <w:rFonts w:ascii="Arial" w:hAnsi="Arial" w:cs="Arial"/>
          <w:b/>
        </w:rPr>
      </w:pPr>
    </w:p>
    <w:p w:rsidR="000612ED" w:rsidRPr="00486A3C" w:rsidRDefault="000612ED" w:rsidP="001A63ED">
      <w:pPr>
        <w:jc w:val="both"/>
        <w:rPr>
          <w:rFonts w:ascii="Arial" w:hAnsi="Arial" w:cs="Arial"/>
          <w:b/>
          <w:noProof/>
        </w:rPr>
      </w:pPr>
    </w:p>
    <w:p w:rsidR="00112F07" w:rsidRPr="00486A3C" w:rsidRDefault="00112F07" w:rsidP="001A63ED">
      <w:pPr>
        <w:jc w:val="both"/>
        <w:rPr>
          <w:rFonts w:ascii="Arial" w:hAnsi="Arial" w:cs="Arial"/>
          <w:b/>
        </w:rPr>
      </w:pPr>
      <w:r w:rsidRPr="00486A3C">
        <w:rPr>
          <w:rFonts w:ascii="Arial" w:hAnsi="Arial" w:cs="Arial"/>
          <w:b/>
          <w:noProof/>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7259EF" w:rsidRPr="00486A3C" w:rsidRDefault="007259EF" w:rsidP="001A63ED">
      <w:pPr>
        <w:jc w:val="both"/>
        <w:rPr>
          <w:rFonts w:ascii="Arial" w:hAnsi="Arial" w:cs="Arial"/>
          <w:b/>
        </w:rPr>
      </w:pPr>
    </w:p>
    <w:p w:rsidR="007259EF" w:rsidRPr="00486A3C" w:rsidRDefault="007259EF" w:rsidP="001A63ED">
      <w:pPr>
        <w:jc w:val="both"/>
        <w:rPr>
          <w:rFonts w:ascii="Arial" w:hAnsi="Arial" w:cs="Arial"/>
          <w:b/>
        </w:rPr>
      </w:pPr>
    </w:p>
    <w:p w:rsidR="007259EF" w:rsidRPr="00486A3C" w:rsidRDefault="007259EF" w:rsidP="001A63ED">
      <w:pPr>
        <w:jc w:val="both"/>
        <w:rPr>
          <w:rFonts w:ascii="Arial" w:hAnsi="Arial" w:cs="Arial"/>
          <w:b/>
        </w:rPr>
      </w:pPr>
    </w:p>
    <w:p w:rsidR="007259EF" w:rsidRPr="00486A3C" w:rsidRDefault="007259EF" w:rsidP="001A63ED">
      <w:pPr>
        <w:jc w:val="both"/>
        <w:rPr>
          <w:rFonts w:ascii="Arial" w:hAnsi="Arial" w:cs="Arial"/>
          <w:b/>
        </w:rPr>
      </w:pPr>
    </w:p>
    <w:p w:rsidR="007259EF" w:rsidRPr="00486A3C" w:rsidRDefault="007259EF" w:rsidP="001A63ED">
      <w:pPr>
        <w:jc w:val="both"/>
        <w:rPr>
          <w:rFonts w:ascii="Arial" w:hAnsi="Arial" w:cs="Arial"/>
          <w:b/>
        </w:rPr>
      </w:pPr>
    </w:p>
    <w:p w:rsidR="007259EF" w:rsidRPr="00486A3C" w:rsidRDefault="007259EF" w:rsidP="001A63ED">
      <w:pPr>
        <w:jc w:val="both"/>
        <w:rPr>
          <w:rFonts w:ascii="Arial" w:hAnsi="Arial" w:cs="Arial"/>
          <w:b/>
        </w:rPr>
      </w:pPr>
    </w:p>
    <w:p w:rsidR="007259EF" w:rsidRPr="00486A3C" w:rsidRDefault="007259EF"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r w:rsidRPr="00486A3C">
        <w:rPr>
          <w:rFonts w:ascii="Arial" w:hAnsi="Arial" w:cs="Arial"/>
          <w:b/>
          <w:noProof/>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4"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p w:rsidR="00F31B5A" w:rsidRPr="00486A3C" w:rsidRDefault="00F31B5A" w:rsidP="001A63ED">
      <w:pPr>
        <w:jc w:val="both"/>
        <w:rPr>
          <w:rFonts w:ascii="Arial" w:hAnsi="Arial" w:cs="Arial"/>
          <w:b/>
        </w:rPr>
      </w:pPr>
    </w:p>
    <w:p w:rsidR="00F31B5A" w:rsidRPr="00486A3C" w:rsidRDefault="00F31B5A" w:rsidP="001A63ED">
      <w:pPr>
        <w:jc w:val="both"/>
        <w:rPr>
          <w:rFonts w:ascii="Arial" w:hAnsi="Arial" w:cs="Arial"/>
          <w:b/>
        </w:rPr>
      </w:pPr>
    </w:p>
    <w:p w:rsidR="00F31B5A" w:rsidRPr="00486A3C" w:rsidRDefault="00F31B5A" w:rsidP="001A63ED">
      <w:pPr>
        <w:jc w:val="both"/>
        <w:rPr>
          <w:rFonts w:ascii="Arial" w:hAnsi="Arial" w:cs="Arial"/>
          <w:b/>
        </w:rPr>
      </w:pPr>
    </w:p>
    <w:p w:rsidR="000612ED" w:rsidRPr="00486A3C" w:rsidRDefault="000612ED" w:rsidP="000612ED">
      <w:pPr>
        <w:rPr>
          <w:rFonts w:ascii="Arial" w:hAnsi="Arial" w:cs="Arial"/>
          <w:b/>
          <w:bCs/>
        </w:rPr>
      </w:pPr>
    </w:p>
    <w:p w:rsidR="00F31B5A" w:rsidRPr="00486A3C" w:rsidRDefault="00F31B5A" w:rsidP="000612ED">
      <w:pPr>
        <w:rPr>
          <w:rFonts w:ascii="Arial" w:hAnsi="Arial" w:cs="Arial"/>
          <w:b/>
          <w:bCs/>
        </w:rPr>
      </w:pPr>
    </w:p>
    <w:p w:rsidR="00F31B5A" w:rsidRPr="00486A3C" w:rsidRDefault="00F31B5A" w:rsidP="000612ED">
      <w:pPr>
        <w:rPr>
          <w:rFonts w:ascii="Arial" w:hAnsi="Arial" w:cs="Arial"/>
          <w:b/>
          <w:bCs/>
        </w:rPr>
      </w:pPr>
    </w:p>
    <w:p w:rsidR="00F31B5A" w:rsidRPr="00486A3C" w:rsidRDefault="00F31B5A" w:rsidP="000612ED">
      <w:pPr>
        <w:rPr>
          <w:rFonts w:ascii="Arial" w:hAnsi="Arial" w:cs="Arial"/>
          <w:b/>
          <w:bCs/>
        </w:rPr>
      </w:pPr>
    </w:p>
    <w:p w:rsidR="00F31B5A" w:rsidRPr="00486A3C" w:rsidRDefault="00F31B5A" w:rsidP="000612ED">
      <w:pPr>
        <w:rPr>
          <w:rFonts w:ascii="Arial" w:hAnsi="Arial" w:cs="Arial"/>
          <w:b/>
          <w:bCs/>
        </w:rPr>
      </w:pPr>
    </w:p>
    <w:p w:rsidR="00F31B5A" w:rsidRPr="00486A3C" w:rsidRDefault="00F31B5A" w:rsidP="000612ED">
      <w:pPr>
        <w:rPr>
          <w:rFonts w:ascii="Arial" w:hAnsi="Arial" w:cs="Arial"/>
          <w:b/>
          <w:bCs/>
        </w:rPr>
      </w:pPr>
    </w:p>
    <w:p w:rsidR="00F31B5A" w:rsidRPr="00486A3C" w:rsidRDefault="00F31B5A" w:rsidP="000612ED">
      <w:pPr>
        <w:rPr>
          <w:rFonts w:ascii="Arial" w:hAnsi="Arial" w:cs="Arial"/>
          <w:b/>
          <w:bCs/>
        </w:rPr>
      </w:pPr>
    </w:p>
    <w:p w:rsidR="00F31B5A" w:rsidRPr="00486A3C" w:rsidRDefault="00F31B5A" w:rsidP="000612ED">
      <w:pPr>
        <w:rPr>
          <w:rFonts w:ascii="Arial" w:hAnsi="Arial" w:cs="Arial"/>
          <w:b/>
          <w:bCs/>
        </w:rPr>
      </w:pPr>
    </w:p>
    <w:p w:rsidR="00F31B5A" w:rsidRPr="00486A3C" w:rsidRDefault="00F31B5A" w:rsidP="000612ED">
      <w:pPr>
        <w:rPr>
          <w:rFonts w:ascii="Arial" w:hAnsi="Arial" w:cs="Arial"/>
          <w:b/>
          <w:bCs/>
        </w:rPr>
      </w:pPr>
    </w:p>
    <w:p w:rsidR="004C6E1D" w:rsidRPr="00486A3C" w:rsidRDefault="004C6E1D" w:rsidP="000612ED">
      <w:pPr>
        <w:jc w:val="center"/>
        <w:rPr>
          <w:rFonts w:ascii="Arial" w:hAnsi="Arial" w:cs="Arial"/>
          <w:b/>
          <w:bCs/>
        </w:rPr>
      </w:pPr>
    </w:p>
    <w:p w:rsidR="004C6E1D" w:rsidRPr="00486A3C" w:rsidRDefault="004C6E1D" w:rsidP="000612ED">
      <w:pPr>
        <w:jc w:val="center"/>
        <w:rPr>
          <w:rFonts w:ascii="Arial" w:hAnsi="Arial" w:cs="Arial"/>
          <w:b/>
          <w:bCs/>
        </w:rPr>
      </w:pPr>
    </w:p>
    <w:p w:rsidR="000612ED" w:rsidRPr="00486A3C" w:rsidRDefault="00CC06BD" w:rsidP="000612ED">
      <w:pPr>
        <w:jc w:val="center"/>
        <w:rPr>
          <w:rFonts w:ascii="Arial" w:hAnsi="Arial" w:cs="Arial"/>
          <w:b/>
          <w:bCs/>
        </w:rPr>
      </w:pPr>
      <w:r w:rsidRPr="00486A3C">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486A3C" w:rsidRDefault="000612ED" w:rsidP="000612ED">
      <w:pPr>
        <w:jc w:val="center"/>
        <w:rPr>
          <w:rFonts w:ascii="Arial" w:hAnsi="Arial" w:cs="Arial"/>
          <w:b/>
          <w:bCs/>
        </w:rPr>
      </w:pPr>
    </w:p>
    <w:p w:rsidR="000612ED" w:rsidRPr="00486A3C" w:rsidRDefault="00CC06BD" w:rsidP="000612ED">
      <w:pPr>
        <w:ind w:firstLine="708"/>
        <w:jc w:val="center"/>
        <w:rPr>
          <w:rFonts w:ascii="Arial" w:hAnsi="Arial" w:cs="Arial"/>
          <w:b/>
          <w:bCs/>
        </w:rPr>
      </w:pPr>
      <w:r w:rsidRPr="00486A3C">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486A3C" w:rsidRDefault="000612ED" w:rsidP="001A63ED">
      <w:pPr>
        <w:jc w:val="both"/>
        <w:rPr>
          <w:rFonts w:ascii="Arial" w:hAnsi="Arial" w:cs="Arial"/>
          <w:b/>
        </w:rPr>
      </w:pPr>
    </w:p>
    <w:p w:rsidR="000612ED" w:rsidRPr="00486A3C" w:rsidRDefault="000612ED" w:rsidP="001A63ED">
      <w:pPr>
        <w:jc w:val="both"/>
        <w:rPr>
          <w:rFonts w:ascii="Arial" w:hAnsi="Arial" w:cs="Arial"/>
          <w:b/>
        </w:rPr>
      </w:pPr>
    </w:p>
    <w:sectPr w:rsidR="000612ED" w:rsidRPr="00486A3C"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0B3" w:rsidRDefault="006150B3">
      <w:r>
        <w:separator/>
      </w:r>
    </w:p>
  </w:endnote>
  <w:endnote w:type="continuationSeparator" w:id="0">
    <w:p w:rsidR="006150B3" w:rsidRDefault="00615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E45D1"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E45D1"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486A3C">
      <w:rPr>
        <w:rStyle w:val="Nmerodepgina"/>
        <w:noProof/>
      </w:rPr>
      <w:t>2</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0B3" w:rsidRDefault="006150B3">
      <w:r>
        <w:separator/>
      </w:r>
    </w:p>
  </w:footnote>
  <w:footnote w:type="continuationSeparator" w:id="0">
    <w:p w:rsidR="006150B3" w:rsidRDefault="006150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7E45D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E45D1"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7E45D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7745"/>
    <w:rsid w:val="0048268F"/>
    <w:rsid w:val="00486A3C"/>
    <w:rsid w:val="0048734A"/>
    <w:rsid w:val="004C18EF"/>
    <w:rsid w:val="004C3F6F"/>
    <w:rsid w:val="004C662F"/>
    <w:rsid w:val="004C6E1D"/>
    <w:rsid w:val="004F5139"/>
    <w:rsid w:val="004F7C0F"/>
    <w:rsid w:val="00506FD3"/>
    <w:rsid w:val="00521E80"/>
    <w:rsid w:val="005403E4"/>
    <w:rsid w:val="00550443"/>
    <w:rsid w:val="00550F54"/>
    <w:rsid w:val="005510C9"/>
    <w:rsid w:val="00551B30"/>
    <w:rsid w:val="00563944"/>
    <w:rsid w:val="0056683F"/>
    <w:rsid w:val="00573B2A"/>
    <w:rsid w:val="0058295A"/>
    <w:rsid w:val="00597536"/>
    <w:rsid w:val="005A61FD"/>
    <w:rsid w:val="005B4016"/>
    <w:rsid w:val="005C63EE"/>
    <w:rsid w:val="005D60B5"/>
    <w:rsid w:val="00600850"/>
    <w:rsid w:val="0060742C"/>
    <w:rsid w:val="00612088"/>
    <w:rsid w:val="006150B3"/>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3CB5"/>
    <w:rsid w:val="007B25B4"/>
    <w:rsid w:val="007C312B"/>
    <w:rsid w:val="007E12C7"/>
    <w:rsid w:val="007E45D1"/>
    <w:rsid w:val="00831D18"/>
    <w:rsid w:val="00832101"/>
    <w:rsid w:val="008343D7"/>
    <w:rsid w:val="00841DA9"/>
    <w:rsid w:val="0084671A"/>
    <w:rsid w:val="00850FCA"/>
    <w:rsid w:val="00853C1A"/>
    <w:rsid w:val="008574CE"/>
    <w:rsid w:val="00890667"/>
    <w:rsid w:val="008C759A"/>
    <w:rsid w:val="008D7B72"/>
    <w:rsid w:val="008E58A9"/>
    <w:rsid w:val="008F4096"/>
    <w:rsid w:val="00906ED6"/>
    <w:rsid w:val="00911FEA"/>
    <w:rsid w:val="009148CB"/>
    <w:rsid w:val="00920336"/>
    <w:rsid w:val="00923C22"/>
    <w:rsid w:val="009273D1"/>
    <w:rsid w:val="00936906"/>
    <w:rsid w:val="00952DEA"/>
    <w:rsid w:val="00965866"/>
    <w:rsid w:val="0096624B"/>
    <w:rsid w:val="0098005C"/>
    <w:rsid w:val="009C6D7B"/>
    <w:rsid w:val="009E38C3"/>
    <w:rsid w:val="00A22082"/>
    <w:rsid w:val="00A24F19"/>
    <w:rsid w:val="00A87133"/>
    <w:rsid w:val="00A96FFE"/>
    <w:rsid w:val="00AA6441"/>
    <w:rsid w:val="00AA6B49"/>
    <w:rsid w:val="00AC1DB3"/>
    <w:rsid w:val="00AD7449"/>
    <w:rsid w:val="00AE27D7"/>
    <w:rsid w:val="00AF0E4C"/>
    <w:rsid w:val="00B61D15"/>
    <w:rsid w:val="00B8303C"/>
    <w:rsid w:val="00B965F3"/>
    <w:rsid w:val="00BA2CA9"/>
    <w:rsid w:val="00BB35CF"/>
    <w:rsid w:val="00BC608A"/>
    <w:rsid w:val="00BC65E7"/>
    <w:rsid w:val="00BE28F6"/>
    <w:rsid w:val="00BF0B48"/>
    <w:rsid w:val="00BF2997"/>
    <w:rsid w:val="00C00E1F"/>
    <w:rsid w:val="00C122CD"/>
    <w:rsid w:val="00C252B2"/>
    <w:rsid w:val="00C30A93"/>
    <w:rsid w:val="00C3550F"/>
    <w:rsid w:val="00C47D37"/>
    <w:rsid w:val="00C57EB9"/>
    <w:rsid w:val="00C61805"/>
    <w:rsid w:val="00C65388"/>
    <w:rsid w:val="00C900E0"/>
    <w:rsid w:val="00CA621F"/>
    <w:rsid w:val="00CA7482"/>
    <w:rsid w:val="00CC06BD"/>
    <w:rsid w:val="00CC2C5E"/>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83EF6"/>
    <w:rsid w:val="00DA49DC"/>
    <w:rsid w:val="00DA5CEF"/>
    <w:rsid w:val="00DD2946"/>
    <w:rsid w:val="00DE54B5"/>
    <w:rsid w:val="00DF2C68"/>
    <w:rsid w:val="00DF3367"/>
    <w:rsid w:val="00DF6E17"/>
    <w:rsid w:val="00E00E6C"/>
    <w:rsid w:val="00E03F6F"/>
    <w:rsid w:val="00E116DF"/>
    <w:rsid w:val="00E2294B"/>
    <w:rsid w:val="00E33D27"/>
    <w:rsid w:val="00E54C0E"/>
    <w:rsid w:val="00E779BB"/>
    <w:rsid w:val="00E803DC"/>
    <w:rsid w:val="00EA0593"/>
    <w:rsid w:val="00EB32D4"/>
    <w:rsid w:val="00EB614B"/>
    <w:rsid w:val="00EC65E3"/>
    <w:rsid w:val="00EC70E5"/>
    <w:rsid w:val="00F0079A"/>
    <w:rsid w:val="00F31B5A"/>
    <w:rsid w:val="00F37ACA"/>
    <w:rsid w:val="00F50A25"/>
    <w:rsid w:val="00F57933"/>
    <w:rsid w:val="00F60719"/>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01.s3c.es/imag/doc/2014-09-16/Sentencia_Herencia_Venta_Tercio.pdf"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46842-B150-4064-A8F0-682A58A1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570</Words>
  <Characters>3039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 GARCÍA LÓPEZ</cp:lastModifiedBy>
  <cp:revision>21</cp:revision>
  <cp:lastPrinted>2014-05-18T08:02:00Z</cp:lastPrinted>
  <dcterms:created xsi:type="dcterms:W3CDTF">2014-05-18T08:02:00Z</dcterms:created>
  <dcterms:modified xsi:type="dcterms:W3CDTF">2014-11-01T06:30:00Z</dcterms:modified>
</cp:coreProperties>
</file>