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98" w:rsidRPr="00D45590" w:rsidRDefault="00D45590" w:rsidP="00D45590">
      <w:pPr>
        <w:spacing w:line="360" w:lineRule="auto"/>
        <w:jc w:val="both"/>
        <w:rPr>
          <w:rFonts w:ascii="Arial" w:hAnsi="Arial" w:cs="Arial"/>
        </w:rPr>
      </w:pPr>
      <w:r w:rsidRPr="00D45590">
        <w:rPr>
          <w:rFonts w:ascii="Arial" w:hAnsi="Arial" w:cs="Arial"/>
          <w:b/>
        </w:rPr>
        <w:t xml:space="preserve">BANCARIO. </w:t>
      </w:r>
      <w:r w:rsidR="00B27D98" w:rsidRPr="00D45590">
        <w:rPr>
          <w:rFonts w:ascii="Arial" w:hAnsi="Arial" w:cs="Arial"/>
          <w:b/>
        </w:rPr>
        <w:t xml:space="preserve">La Audiencia Provincial de Madrid confirma la nulidad de la compra de acciones </w:t>
      </w:r>
      <w:r w:rsidR="00DD177E" w:rsidRPr="00D45590">
        <w:rPr>
          <w:rFonts w:ascii="Arial" w:hAnsi="Arial" w:cs="Arial"/>
          <w:b/>
        </w:rPr>
        <w:t>BANKIA</w:t>
      </w:r>
      <w:r w:rsidR="00B27D98" w:rsidRPr="00D45590">
        <w:rPr>
          <w:rFonts w:ascii="Arial" w:hAnsi="Arial" w:cs="Arial"/>
        </w:rPr>
        <w:t xml:space="preserve"> en el mercado secundario</w:t>
      </w:r>
      <w:r>
        <w:rPr>
          <w:rFonts w:ascii="Arial" w:hAnsi="Arial" w:cs="Arial"/>
        </w:rPr>
        <w:t xml:space="preserve">. </w:t>
      </w:r>
      <w:r w:rsidR="00B27D98" w:rsidRPr="00D45590">
        <w:rPr>
          <w:rFonts w:ascii="Arial" w:hAnsi="Arial" w:cs="Arial"/>
        </w:rPr>
        <w:t xml:space="preserve">A través de sentencia de fecha 10 de noviembre de 2016, la Sección 10ª de la Audiencia Provincial de Madrid, ha desestimado el recurso de apelación interpuesto por </w:t>
      </w:r>
      <w:proofErr w:type="spellStart"/>
      <w:r w:rsidR="00B27D98" w:rsidRPr="00D45590">
        <w:rPr>
          <w:rFonts w:ascii="Arial" w:hAnsi="Arial" w:cs="Arial"/>
        </w:rPr>
        <w:t>Bankia</w:t>
      </w:r>
      <w:proofErr w:type="spellEnd"/>
      <w:r w:rsidR="00B27D98" w:rsidRPr="00D45590">
        <w:rPr>
          <w:rFonts w:ascii="Arial" w:hAnsi="Arial" w:cs="Arial"/>
        </w:rPr>
        <w:t xml:space="preserve"> frente a la sentencia dictada por el Juzgado de Primera Instancia 7 de Madrid, por la que se estimaba íntegramente la demanda interpuesta por unos accionistas de </w:t>
      </w:r>
      <w:proofErr w:type="spellStart"/>
      <w:r w:rsidR="00B27D98" w:rsidRPr="00D45590">
        <w:rPr>
          <w:rFonts w:ascii="Arial" w:hAnsi="Arial" w:cs="Arial"/>
        </w:rPr>
        <w:t>Bankia</w:t>
      </w:r>
      <w:proofErr w:type="spellEnd"/>
      <w:r w:rsidR="00B27D98" w:rsidRPr="00D45590">
        <w:rPr>
          <w:rFonts w:ascii="Arial" w:hAnsi="Arial" w:cs="Arial"/>
        </w:rPr>
        <w:t xml:space="preserve"> que en marzo de 2012, es decir, ochos meses después de la salida a Bolsa del banco, adquirieron títulos de esta entidad bancaria.</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 xml:space="preserve"> Hasta ahora, y tras las sentencias del Pleno Tribunal Supremo nº 23/2016 y 24/2016, </w:t>
      </w:r>
      <w:proofErr w:type="spellStart"/>
      <w:r w:rsidRPr="00D45590">
        <w:rPr>
          <w:rFonts w:ascii="Arial" w:hAnsi="Arial" w:cs="Arial"/>
        </w:rPr>
        <w:t>Bankia</w:t>
      </w:r>
      <w:proofErr w:type="spellEnd"/>
      <w:r w:rsidRPr="00D45590">
        <w:rPr>
          <w:rFonts w:ascii="Arial" w:hAnsi="Arial" w:cs="Arial"/>
        </w:rPr>
        <w:t xml:space="preserve"> viene devolviendo el dinero invertido a todos aquellos accionistas de </w:t>
      </w:r>
      <w:proofErr w:type="spellStart"/>
      <w:r w:rsidRPr="00D45590">
        <w:rPr>
          <w:rFonts w:ascii="Arial" w:hAnsi="Arial" w:cs="Arial"/>
        </w:rPr>
        <w:t>Bankia</w:t>
      </w:r>
      <w:proofErr w:type="spellEnd"/>
      <w:r w:rsidRPr="00D45590">
        <w:rPr>
          <w:rFonts w:ascii="Arial" w:hAnsi="Arial" w:cs="Arial"/>
        </w:rPr>
        <w:t xml:space="preserve"> que acudieron a la Oferta Pública de Suscripción de julio de 2011. Sin embargo, niega este derecho a todos aquellos accionistas que, adquirieron las acciones en los meses siguientes, confiando igualmente en la validez del Folleto de Emisión de la OPS, el cual </w:t>
      </w:r>
      <w:proofErr w:type="spellStart"/>
      <w:r w:rsidRPr="00D45590">
        <w:rPr>
          <w:rFonts w:ascii="Arial" w:hAnsi="Arial" w:cs="Arial"/>
        </w:rPr>
        <w:t>Bankia</w:t>
      </w:r>
      <w:proofErr w:type="spellEnd"/>
      <w:r w:rsidRPr="00D45590">
        <w:rPr>
          <w:rFonts w:ascii="Arial" w:hAnsi="Arial" w:cs="Arial"/>
        </w:rPr>
        <w:t xml:space="preserve"> seguía declarando como válido y que, supuestamente, recogía la verdadera situación patrimonial de la entidad. </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 xml:space="preserve">Pues bien, gracias a esta Sentencia de la Audiencia Provincial de Madrid conseguida por Basilea Abogados, la Sala considera acreditado que todos aquellos inversores que suscribieron acciones tras la OPS y antes de la reformulación de cuentas del 25 de mayo de 2012 sufrieron el mismo vicio en el consentimiento que los accionistas que compraron en la OPS. </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 xml:space="preserve">"No puede sustentarse con consistencia suasoria que no puede admitirse la concurrencia de error en marzo de 2012, cuando la parte demandante conocía que el valor de la acción había sufrido una caída importante en su cotización, olvidando deliberadamente, al razonar así que, como tantas veces hemos </w:t>
      </w:r>
      <w:r w:rsidRPr="00D45590">
        <w:rPr>
          <w:rFonts w:ascii="Arial" w:hAnsi="Arial" w:cs="Arial"/>
        </w:rPr>
        <w:lastRenderedPageBreak/>
        <w:t xml:space="preserve">declarado la simple disparidad entre los datos económicos difundidos por la entidad demandada a los posibles inversores antes de julio de 2011 y los ofrecidos con la reformulación de cuentas en mayo de 2012 autoriza a colegir mediante el procedimiento presuntivo o de signo indirecto que la situación financiera de </w:t>
      </w:r>
      <w:proofErr w:type="spellStart"/>
      <w:r w:rsidRPr="00D45590">
        <w:rPr>
          <w:rFonts w:ascii="Arial" w:hAnsi="Arial" w:cs="Arial"/>
        </w:rPr>
        <w:t>Bankia</w:t>
      </w:r>
      <w:proofErr w:type="spellEnd"/>
      <w:r w:rsidRPr="00D45590">
        <w:rPr>
          <w:rFonts w:ascii="Arial" w:hAnsi="Arial" w:cs="Arial"/>
        </w:rPr>
        <w:t xml:space="preserve"> publicada en el folleto no correspondía a la real, lo que se ve corroborado por otras circunstancias posteriores". </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 xml:space="preserve">"Esa falta de información sobre la situación económica real de BANKIA SA autoriza a presumir el error de forma irrefutable, puesto que la representación que se hace el cliente es equivocada en orden a lo que está contratando, lo que es predicable tanto de las acciones adquiridas el 19/11/2011, como las adquiridas el día 12/3/2012, al margen de que no era </w:t>
      </w:r>
      <w:proofErr w:type="spellStart"/>
      <w:r w:rsidRPr="00D45590">
        <w:rPr>
          <w:rFonts w:ascii="Arial" w:hAnsi="Arial" w:cs="Arial"/>
        </w:rPr>
        <w:t>Bankia</w:t>
      </w:r>
      <w:proofErr w:type="spellEnd"/>
      <w:r w:rsidRPr="00D45590">
        <w:rPr>
          <w:rFonts w:ascii="Arial" w:hAnsi="Arial" w:cs="Arial"/>
        </w:rPr>
        <w:t xml:space="preserve">, SA ajena a ese mercado secundario". </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Por otra parte, la Audiencia Provincial también destaca la "</w:t>
      </w:r>
      <w:proofErr w:type="spellStart"/>
      <w:r w:rsidRPr="00D45590">
        <w:rPr>
          <w:rFonts w:ascii="Arial" w:hAnsi="Arial" w:cs="Arial"/>
        </w:rPr>
        <w:t>mutatio</w:t>
      </w:r>
      <w:proofErr w:type="spellEnd"/>
      <w:r w:rsidRPr="00D45590">
        <w:rPr>
          <w:rFonts w:ascii="Arial" w:hAnsi="Arial" w:cs="Arial"/>
        </w:rPr>
        <w:t xml:space="preserve"> </w:t>
      </w:r>
      <w:proofErr w:type="spellStart"/>
      <w:r w:rsidRPr="00D45590">
        <w:rPr>
          <w:rFonts w:ascii="Arial" w:hAnsi="Arial" w:cs="Arial"/>
        </w:rPr>
        <w:t>libelli</w:t>
      </w:r>
      <w:proofErr w:type="spellEnd"/>
      <w:r w:rsidRPr="00D45590">
        <w:rPr>
          <w:rFonts w:ascii="Arial" w:hAnsi="Arial" w:cs="Arial"/>
        </w:rPr>
        <w:t xml:space="preserve">" en la que incurre la defensa de la entidad bancaria, quien introdujo toda una serie de alegaciones nuevas en su recurso (tales como la falta de legitimación pasiva del banco, o la indebida aplicación del Folleto a las compras posteriores) y que, según la Sala, revisten "un ataque a la buena fe procesal". </w:t>
      </w:r>
    </w:p>
    <w:p w:rsidR="00B27D98" w:rsidRPr="00D45590" w:rsidRDefault="00B27D98" w:rsidP="00D45590">
      <w:pPr>
        <w:spacing w:line="360" w:lineRule="auto"/>
        <w:jc w:val="both"/>
        <w:rPr>
          <w:rFonts w:ascii="Arial" w:hAnsi="Arial" w:cs="Arial"/>
        </w:rPr>
      </w:pPr>
    </w:p>
    <w:p w:rsidR="00B27D98" w:rsidRPr="00D45590" w:rsidRDefault="00B27D98" w:rsidP="00D45590">
      <w:pPr>
        <w:spacing w:line="360" w:lineRule="auto"/>
        <w:jc w:val="both"/>
        <w:rPr>
          <w:rFonts w:ascii="Arial" w:hAnsi="Arial" w:cs="Arial"/>
        </w:rPr>
      </w:pPr>
      <w:r w:rsidRPr="00D45590">
        <w:rPr>
          <w:rFonts w:ascii="Arial" w:hAnsi="Arial" w:cs="Arial"/>
        </w:rPr>
        <w:t xml:space="preserve">Son muchos aún los procedimientos pendientes de resolver que afectan a pequeños ahorrados que compraron acciones del banco sólo unos meses después de la OPS. Esta sentencia muestra el camino que deben recorrer para recuperar su dinero. </w:t>
      </w:r>
    </w:p>
    <w:p w:rsidR="00B27D98" w:rsidRPr="00D45590" w:rsidRDefault="00B27D98" w:rsidP="00D45590">
      <w:pPr>
        <w:spacing w:line="360" w:lineRule="auto"/>
        <w:jc w:val="both"/>
        <w:rPr>
          <w:rFonts w:ascii="Arial" w:hAnsi="Arial" w:cs="Arial"/>
        </w:rPr>
      </w:pPr>
    </w:p>
    <w:p w:rsidR="00EB03A1" w:rsidRPr="00D45590" w:rsidRDefault="00EB03A1" w:rsidP="00D45590">
      <w:pPr>
        <w:spacing w:line="360" w:lineRule="auto"/>
        <w:jc w:val="both"/>
        <w:rPr>
          <w:rFonts w:ascii="Arial" w:hAnsi="Arial" w:cs="Arial"/>
        </w:rPr>
      </w:pPr>
    </w:p>
    <w:p w:rsidR="0014143E" w:rsidRPr="00D45590" w:rsidRDefault="0014143E" w:rsidP="00D45590">
      <w:pPr>
        <w:spacing w:line="360" w:lineRule="auto"/>
        <w:jc w:val="both"/>
        <w:rPr>
          <w:rFonts w:ascii="Arial" w:hAnsi="Arial" w:cs="Arial"/>
        </w:rPr>
      </w:pPr>
    </w:p>
    <w:p w:rsidR="00AA2259" w:rsidRPr="00D45590" w:rsidRDefault="00AA2259" w:rsidP="00D45590">
      <w:pPr>
        <w:spacing w:line="360" w:lineRule="auto"/>
        <w:jc w:val="both"/>
        <w:rPr>
          <w:rFonts w:ascii="Arial" w:hAnsi="Arial" w:cs="Arial"/>
        </w:rPr>
      </w:pPr>
    </w:p>
    <w:p w:rsidR="002570FE" w:rsidRPr="00D45590" w:rsidRDefault="002570FE" w:rsidP="00D45590">
      <w:pPr>
        <w:spacing w:line="360" w:lineRule="auto"/>
        <w:jc w:val="both"/>
        <w:rPr>
          <w:rFonts w:ascii="Arial" w:hAnsi="Arial" w:cs="Arial"/>
        </w:rPr>
      </w:pPr>
    </w:p>
    <w:p w:rsidR="002570FE" w:rsidRPr="00D45590" w:rsidRDefault="002570FE" w:rsidP="00D45590">
      <w:pPr>
        <w:spacing w:line="360" w:lineRule="auto"/>
        <w:jc w:val="both"/>
        <w:rPr>
          <w:rFonts w:ascii="Arial" w:hAnsi="Arial" w:cs="Arial"/>
        </w:rPr>
      </w:pPr>
    </w:p>
    <w:p w:rsidR="002570FE" w:rsidRPr="00D45590" w:rsidRDefault="002570FE" w:rsidP="00D45590">
      <w:pPr>
        <w:spacing w:line="360" w:lineRule="auto"/>
        <w:jc w:val="both"/>
        <w:rPr>
          <w:rFonts w:ascii="Arial" w:hAnsi="Arial" w:cs="Arial"/>
        </w:rPr>
      </w:pPr>
    </w:p>
    <w:p w:rsidR="002570FE" w:rsidRPr="00D45590" w:rsidRDefault="002570FE" w:rsidP="00D45590">
      <w:pPr>
        <w:spacing w:line="360" w:lineRule="auto"/>
        <w:jc w:val="both"/>
        <w:rPr>
          <w:rFonts w:ascii="Arial" w:hAnsi="Arial" w:cs="Arial"/>
        </w:rPr>
      </w:pPr>
    </w:p>
    <w:p w:rsidR="002570FE" w:rsidRPr="00D45590" w:rsidRDefault="002570FE" w:rsidP="00D45590">
      <w:pPr>
        <w:spacing w:line="360" w:lineRule="auto"/>
        <w:jc w:val="both"/>
        <w:rPr>
          <w:rFonts w:ascii="Arial" w:hAnsi="Arial" w:cs="Arial"/>
        </w:rPr>
      </w:pPr>
    </w:p>
    <w:p w:rsidR="002570FE" w:rsidRDefault="002570FE" w:rsidP="002570FE">
      <w:pPr>
        <w:spacing w:line="360" w:lineRule="auto"/>
        <w:jc w:val="both"/>
        <w:rPr>
          <w:rFonts w:ascii="Arial" w:hAnsi="Arial" w:cs="Arial"/>
        </w:rPr>
      </w:pPr>
    </w:p>
    <w:p w:rsidR="002570FE" w:rsidRDefault="002570FE" w:rsidP="002570FE">
      <w:pPr>
        <w:spacing w:line="360" w:lineRule="auto"/>
        <w:jc w:val="both"/>
        <w:rPr>
          <w:rFonts w:ascii="Arial" w:hAnsi="Arial" w:cs="Arial"/>
        </w:rPr>
      </w:pPr>
    </w:p>
    <w:p w:rsidR="002570FE" w:rsidRDefault="002570FE" w:rsidP="002570FE">
      <w:pPr>
        <w:spacing w:line="360" w:lineRule="auto"/>
        <w:jc w:val="both"/>
        <w:rPr>
          <w:rFonts w:ascii="Arial" w:hAnsi="Arial" w:cs="Arial"/>
        </w:rPr>
      </w:pPr>
    </w:p>
    <w:p w:rsidR="002570FE" w:rsidRPr="002570FE" w:rsidRDefault="002570FE"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4B5793"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9009ED" w:rsidRPr="002570FE" w:rsidRDefault="009009ED"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4B5793" w:rsidRPr="002570FE" w:rsidRDefault="004B5793" w:rsidP="002570FE">
      <w:pPr>
        <w:spacing w:line="360" w:lineRule="auto"/>
        <w:jc w:val="both"/>
        <w:rPr>
          <w:rFonts w:ascii="Arial" w:hAnsi="Arial" w:cs="Arial"/>
        </w:rPr>
      </w:pPr>
    </w:p>
    <w:p w:rsidR="00DB1736" w:rsidRPr="002570FE" w:rsidRDefault="009009ED" w:rsidP="002570FE">
      <w:pPr>
        <w:spacing w:line="360" w:lineRule="auto"/>
        <w:jc w:val="both"/>
        <w:rPr>
          <w:rFonts w:ascii="Arial" w:hAnsi="Arial" w:cs="Arial"/>
        </w:rPr>
      </w:pPr>
      <w:r w:rsidRPr="002570FE">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2570FE" w:rsidRDefault="00DB1736" w:rsidP="002570FE">
      <w:pPr>
        <w:spacing w:line="360" w:lineRule="auto"/>
        <w:jc w:val="both"/>
        <w:rPr>
          <w:rFonts w:ascii="Arial" w:hAnsi="Arial" w:cs="Arial"/>
        </w:rPr>
      </w:pPr>
    </w:p>
    <w:p w:rsidR="00DB1736" w:rsidRPr="002570FE" w:rsidRDefault="00DB1736" w:rsidP="002570FE">
      <w:pPr>
        <w:spacing w:line="360" w:lineRule="auto"/>
        <w:jc w:val="both"/>
        <w:rPr>
          <w:rFonts w:ascii="Arial" w:hAnsi="Arial" w:cs="Arial"/>
        </w:rPr>
      </w:pPr>
    </w:p>
    <w:p w:rsidR="00DB1736" w:rsidRPr="002570FE" w:rsidRDefault="00DB1736" w:rsidP="002570FE">
      <w:pPr>
        <w:spacing w:line="360" w:lineRule="auto"/>
        <w:jc w:val="both"/>
        <w:rPr>
          <w:rFonts w:ascii="Arial" w:hAnsi="Arial" w:cs="Arial"/>
        </w:rPr>
      </w:pPr>
    </w:p>
    <w:p w:rsidR="00DB1736" w:rsidRPr="002570FE" w:rsidRDefault="00DB1736" w:rsidP="002570FE">
      <w:pPr>
        <w:spacing w:line="360" w:lineRule="auto"/>
        <w:jc w:val="both"/>
        <w:rPr>
          <w:rFonts w:ascii="Arial" w:hAnsi="Arial" w:cs="Arial"/>
        </w:rPr>
      </w:pPr>
    </w:p>
    <w:p w:rsidR="00DB1736" w:rsidRPr="002570FE" w:rsidRDefault="00DB1736" w:rsidP="002570FE">
      <w:pPr>
        <w:spacing w:line="360" w:lineRule="auto"/>
        <w:jc w:val="both"/>
        <w:rPr>
          <w:rFonts w:ascii="Arial" w:hAnsi="Arial" w:cs="Arial"/>
        </w:rPr>
      </w:pPr>
    </w:p>
    <w:p w:rsidR="002821BC" w:rsidRPr="002570FE" w:rsidRDefault="002821BC" w:rsidP="002570FE">
      <w:pPr>
        <w:spacing w:line="360" w:lineRule="auto"/>
        <w:jc w:val="both"/>
        <w:rPr>
          <w:rFonts w:ascii="Arial" w:hAnsi="Arial" w:cs="Arial"/>
        </w:rPr>
      </w:pPr>
    </w:p>
    <w:p w:rsidR="00D02291" w:rsidRPr="002570FE" w:rsidRDefault="00D02291" w:rsidP="002570FE">
      <w:pPr>
        <w:spacing w:line="360" w:lineRule="auto"/>
        <w:jc w:val="both"/>
        <w:rPr>
          <w:rFonts w:ascii="Arial" w:hAnsi="Arial" w:cs="Arial"/>
        </w:rPr>
      </w:pPr>
    </w:p>
    <w:p w:rsidR="009519EE" w:rsidRPr="002570FE" w:rsidRDefault="009519EE" w:rsidP="002570FE">
      <w:pPr>
        <w:spacing w:line="360" w:lineRule="auto"/>
        <w:jc w:val="both"/>
        <w:rPr>
          <w:rFonts w:ascii="Arial" w:hAnsi="Arial" w:cs="Arial"/>
        </w:rPr>
      </w:pPr>
    </w:p>
    <w:sectPr w:rsidR="009519EE" w:rsidRPr="002570FE"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F64" w:rsidRDefault="00C33F64">
      <w:r>
        <w:separator/>
      </w:r>
    </w:p>
  </w:endnote>
  <w:endnote w:type="continuationSeparator" w:id="0">
    <w:p w:rsidR="00C33F64" w:rsidRDefault="00C33F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54BFA"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54BFA"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DD177E">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F64" w:rsidRDefault="00C33F64">
      <w:r>
        <w:separator/>
      </w:r>
    </w:p>
  </w:footnote>
  <w:footnote w:type="continuationSeparator" w:id="0">
    <w:p w:rsidR="00C33F64" w:rsidRDefault="00C33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54BF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54BFA"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54BF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2FDF"/>
    <w:multiLevelType w:val="multilevel"/>
    <w:tmpl w:val="748E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2250"/>
    <w:multiLevelType w:val="multilevel"/>
    <w:tmpl w:val="43C6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C2AA3"/>
    <w:multiLevelType w:val="multilevel"/>
    <w:tmpl w:val="D05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82F9C"/>
    <w:multiLevelType w:val="multilevel"/>
    <w:tmpl w:val="6744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125EB"/>
    <w:multiLevelType w:val="multilevel"/>
    <w:tmpl w:val="B590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C6802"/>
    <w:multiLevelType w:val="multilevel"/>
    <w:tmpl w:val="A59E0B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74ECB"/>
    <w:multiLevelType w:val="multilevel"/>
    <w:tmpl w:val="085E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F923D0"/>
    <w:multiLevelType w:val="multilevel"/>
    <w:tmpl w:val="45CC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F82B6A"/>
    <w:multiLevelType w:val="multilevel"/>
    <w:tmpl w:val="88A2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2D0FE1"/>
    <w:multiLevelType w:val="multilevel"/>
    <w:tmpl w:val="A094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421DBA"/>
    <w:multiLevelType w:val="multilevel"/>
    <w:tmpl w:val="500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402030"/>
    <w:multiLevelType w:val="multilevel"/>
    <w:tmpl w:val="1ABA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4"/>
  </w:num>
  <w:num w:numId="4">
    <w:abstractNumId w:val="0"/>
  </w:num>
  <w:num w:numId="5">
    <w:abstractNumId w:val="5"/>
  </w:num>
  <w:num w:numId="6">
    <w:abstractNumId w:val="1"/>
  </w:num>
  <w:num w:numId="7">
    <w:abstractNumId w:val="2"/>
  </w:num>
  <w:num w:numId="8">
    <w:abstractNumId w:val="9"/>
  </w:num>
  <w:num w:numId="9">
    <w:abstractNumId w:val="7"/>
  </w:num>
  <w:num w:numId="10">
    <w:abstractNumId w:val="11"/>
  </w:num>
  <w:num w:numId="11">
    <w:abstractNumId w:val="8"/>
  </w:num>
  <w:num w:numId="12">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70553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36E0"/>
    <w:rsid w:val="00016AA0"/>
    <w:rsid w:val="00017DA5"/>
    <w:rsid w:val="00022BD2"/>
    <w:rsid w:val="00024FEF"/>
    <w:rsid w:val="0003072D"/>
    <w:rsid w:val="00033922"/>
    <w:rsid w:val="00033CEB"/>
    <w:rsid w:val="000362A9"/>
    <w:rsid w:val="00037D25"/>
    <w:rsid w:val="00042584"/>
    <w:rsid w:val="00044D2E"/>
    <w:rsid w:val="000457B5"/>
    <w:rsid w:val="00046A79"/>
    <w:rsid w:val="00046E9D"/>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77BF4"/>
    <w:rsid w:val="000825EC"/>
    <w:rsid w:val="00083E4E"/>
    <w:rsid w:val="00086F28"/>
    <w:rsid w:val="000873CF"/>
    <w:rsid w:val="00087E34"/>
    <w:rsid w:val="000915CD"/>
    <w:rsid w:val="000941CA"/>
    <w:rsid w:val="00096DA1"/>
    <w:rsid w:val="000A133F"/>
    <w:rsid w:val="000A3582"/>
    <w:rsid w:val="000A6A5F"/>
    <w:rsid w:val="000B30D9"/>
    <w:rsid w:val="000C16DA"/>
    <w:rsid w:val="000C2041"/>
    <w:rsid w:val="000C22DA"/>
    <w:rsid w:val="000C337E"/>
    <w:rsid w:val="000C3873"/>
    <w:rsid w:val="000C40CB"/>
    <w:rsid w:val="000C47AE"/>
    <w:rsid w:val="000C4953"/>
    <w:rsid w:val="000D5D61"/>
    <w:rsid w:val="000D6B11"/>
    <w:rsid w:val="000E1823"/>
    <w:rsid w:val="000E27E7"/>
    <w:rsid w:val="000E2D15"/>
    <w:rsid w:val="000F1749"/>
    <w:rsid w:val="000F305D"/>
    <w:rsid w:val="000F5A8D"/>
    <w:rsid w:val="000F5EF4"/>
    <w:rsid w:val="000F7076"/>
    <w:rsid w:val="000F7844"/>
    <w:rsid w:val="0010060C"/>
    <w:rsid w:val="0010178D"/>
    <w:rsid w:val="00101CFD"/>
    <w:rsid w:val="00101E4E"/>
    <w:rsid w:val="0011301C"/>
    <w:rsid w:val="0011338B"/>
    <w:rsid w:val="00116656"/>
    <w:rsid w:val="001172ED"/>
    <w:rsid w:val="00117AA2"/>
    <w:rsid w:val="00117C70"/>
    <w:rsid w:val="001204C1"/>
    <w:rsid w:val="001209D4"/>
    <w:rsid w:val="00122D88"/>
    <w:rsid w:val="00123215"/>
    <w:rsid w:val="001232BE"/>
    <w:rsid w:val="00124EA1"/>
    <w:rsid w:val="00126642"/>
    <w:rsid w:val="001307A7"/>
    <w:rsid w:val="00131CFB"/>
    <w:rsid w:val="00135F63"/>
    <w:rsid w:val="001360FD"/>
    <w:rsid w:val="00136165"/>
    <w:rsid w:val="00137AEE"/>
    <w:rsid w:val="001403F3"/>
    <w:rsid w:val="00140D3C"/>
    <w:rsid w:val="00140F44"/>
    <w:rsid w:val="0014143E"/>
    <w:rsid w:val="001421F4"/>
    <w:rsid w:val="00142C8E"/>
    <w:rsid w:val="0014307B"/>
    <w:rsid w:val="00143B44"/>
    <w:rsid w:val="00144AB1"/>
    <w:rsid w:val="00145211"/>
    <w:rsid w:val="00146353"/>
    <w:rsid w:val="00146577"/>
    <w:rsid w:val="00150E4E"/>
    <w:rsid w:val="0015267B"/>
    <w:rsid w:val="00153427"/>
    <w:rsid w:val="001543FF"/>
    <w:rsid w:val="00155032"/>
    <w:rsid w:val="001551D6"/>
    <w:rsid w:val="00155425"/>
    <w:rsid w:val="00155B70"/>
    <w:rsid w:val="00157604"/>
    <w:rsid w:val="00162E93"/>
    <w:rsid w:val="00163318"/>
    <w:rsid w:val="0016353A"/>
    <w:rsid w:val="00165508"/>
    <w:rsid w:val="00166951"/>
    <w:rsid w:val="00170C4A"/>
    <w:rsid w:val="00170D3F"/>
    <w:rsid w:val="00170F03"/>
    <w:rsid w:val="001733F6"/>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52F2"/>
    <w:rsid w:val="001A6AD3"/>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1F7974"/>
    <w:rsid w:val="00201B79"/>
    <w:rsid w:val="00202275"/>
    <w:rsid w:val="00202D62"/>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5A43"/>
    <w:rsid w:val="00236A04"/>
    <w:rsid w:val="00240EF5"/>
    <w:rsid w:val="00241163"/>
    <w:rsid w:val="00241305"/>
    <w:rsid w:val="00241A9E"/>
    <w:rsid w:val="00245534"/>
    <w:rsid w:val="002456D5"/>
    <w:rsid w:val="00246A0F"/>
    <w:rsid w:val="00246CF8"/>
    <w:rsid w:val="00247F1A"/>
    <w:rsid w:val="00247FFE"/>
    <w:rsid w:val="00250136"/>
    <w:rsid w:val="0025036B"/>
    <w:rsid w:val="002503E9"/>
    <w:rsid w:val="00250B2A"/>
    <w:rsid w:val="00255846"/>
    <w:rsid w:val="002570FE"/>
    <w:rsid w:val="00257A44"/>
    <w:rsid w:val="00261EEC"/>
    <w:rsid w:val="00265D3C"/>
    <w:rsid w:val="002661E3"/>
    <w:rsid w:val="00266FF5"/>
    <w:rsid w:val="00267153"/>
    <w:rsid w:val="00270928"/>
    <w:rsid w:val="002726AC"/>
    <w:rsid w:val="002744D4"/>
    <w:rsid w:val="002759CE"/>
    <w:rsid w:val="002821BC"/>
    <w:rsid w:val="00282546"/>
    <w:rsid w:val="002825F6"/>
    <w:rsid w:val="00283E8B"/>
    <w:rsid w:val="00284FAC"/>
    <w:rsid w:val="002860A4"/>
    <w:rsid w:val="002863E2"/>
    <w:rsid w:val="00287D71"/>
    <w:rsid w:val="00296DF2"/>
    <w:rsid w:val="002A0150"/>
    <w:rsid w:val="002A06DB"/>
    <w:rsid w:val="002A2EE4"/>
    <w:rsid w:val="002A45BF"/>
    <w:rsid w:val="002A6352"/>
    <w:rsid w:val="002A670B"/>
    <w:rsid w:val="002B04BE"/>
    <w:rsid w:val="002B0D9C"/>
    <w:rsid w:val="002B23E8"/>
    <w:rsid w:val="002B268C"/>
    <w:rsid w:val="002B29D4"/>
    <w:rsid w:val="002B4021"/>
    <w:rsid w:val="002B579C"/>
    <w:rsid w:val="002B6667"/>
    <w:rsid w:val="002B7517"/>
    <w:rsid w:val="002B7B7F"/>
    <w:rsid w:val="002C2243"/>
    <w:rsid w:val="002C25AF"/>
    <w:rsid w:val="002C61B5"/>
    <w:rsid w:val="002C647F"/>
    <w:rsid w:val="002C68B7"/>
    <w:rsid w:val="002C6C5F"/>
    <w:rsid w:val="002D11AD"/>
    <w:rsid w:val="002D21BE"/>
    <w:rsid w:val="002D2ED2"/>
    <w:rsid w:val="002D32FE"/>
    <w:rsid w:val="002D4DBC"/>
    <w:rsid w:val="002D50B8"/>
    <w:rsid w:val="002E053F"/>
    <w:rsid w:val="002E2A3C"/>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6957"/>
    <w:rsid w:val="00357DD2"/>
    <w:rsid w:val="00361A96"/>
    <w:rsid w:val="00361BCF"/>
    <w:rsid w:val="003631F5"/>
    <w:rsid w:val="00365E50"/>
    <w:rsid w:val="0036668D"/>
    <w:rsid w:val="00366E63"/>
    <w:rsid w:val="003672E1"/>
    <w:rsid w:val="0036733A"/>
    <w:rsid w:val="00367EC5"/>
    <w:rsid w:val="0037118A"/>
    <w:rsid w:val="00372666"/>
    <w:rsid w:val="00373292"/>
    <w:rsid w:val="003737F2"/>
    <w:rsid w:val="00374027"/>
    <w:rsid w:val="00375BC1"/>
    <w:rsid w:val="00380C01"/>
    <w:rsid w:val="00381299"/>
    <w:rsid w:val="003825CB"/>
    <w:rsid w:val="00383D99"/>
    <w:rsid w:val="00384B6A"/>
    <w:rsid w:val="00392899"/>
    <w:rsid w:val="00393327"/>
    <w:rsid w:val="003940A8"/>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1C4"/>
    <w:rsid w:val="003D5696"/>
    <w:rsid w:val="003D5A4F"/>
    <w:rsid w:val="003D694C"/>
    <w:rsid w:val="003D6F6A"/>
    <w:rsid w:val="003E0849"/>
    <w:rsid w:val="003E2060"/>
    <w:rsid w:val="003E2382"/>
    <w:rsid w:val="003E3F2B"/>
    <w:rsid w:val="003E5D44"/>
    <w:rsid w:val="003E66C1"/>
    <w:rsid w:val="003E7310"/>
    <w:rsid w:val="003E7E2F"/>
    <w:rsid w:val="003F11D6"/>
    <w:rsid w:val="003F3FC2"/>
    <w:rsid w:val="003F6999"/>
    <w:rsid w:val="003F6C38"/>
    <w:rsid w:val="003F7727"/>
    <w:rsid w:val="00400D08"/>
    <w:rsid w:val="00401754"/>
    <w:rsid w:val="004026DE"/>
    <w:rsid w:val="00403FB6"/>
    <w:rsid w:val="0040638C"/>
    <w:rsid w:val="004069A0"/>
    <w:rsid w:val="00412BCB"/>
    <w:rsid w:val="004136B4"/>
    <w:rsid w:val="00414CA4"/>
    <w:rsid w:val="00415284"/>
    <w:rsid w:val="004164A6"/>
    <w:rsid w:val="004169D7"/>
    <w:rsid w:val="00424146"/>
    <w:rsid w:val="00424999"/>
    <w:rsid w:val="00424E68"/>
    <w:rsid w:val="00430075"/>
    <w:rsid w:val="004310CD"/>
    <w:rsid w:val="00433028"/>
    <w:rsid w:val="00434F53"/>
    <w:rsid w:val="0044046F"/>
    <w:rsid w:val="00441CF6"/>
    <w:rsid w:val="0044211B"/>
    <w:rsid w:val="00444A6A"/>
    <w:rsid w:val="00444E9C"/>
    <w:rsid w:val="00445C86"/>
    <w:rsid w:val="00446F88"/>
    <w:rsid w:val="00447A97"/>
    <w:rsid w:val="00447B6D"/>
    <w:rsid w:val="00447F11"/>
    <w:rsid w:val="00450935"/>
    <w:rsid w:val="00451F0E"/>
    <w:rsid w:val="0045264A"/>
    <w:rsid w:val="004533EF"/>
    <w:rsid w:val="00453887"/>
    <w:rsid w:val="00453DE1"/>
    <w:rsid w:val="00457758"/>
    <w:rsid w:val="00457F59"/>
    <w:rsid w:val="0046105C"/>
    <w:rsid w:val="00461B15"/>
    <w:rsid w:val="00461E39"/>
    <w:rsid w:val="00463748"/>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31AD"/>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92A"/>
    <w:rsid w:val="004D1D29"/>
    <w:rsid w:val="004D231A"/>
    <w:rsid w:val="004D2CC9"/>
    <w:rsid w:val="004D4741"/>
    <w:rsid w:val="004D4815"/>
    <w:rsid w:val="004D4B75"/>
    <w:rsid w:val="004D57A3"/>
    <w:rsid w:val="004D740A"/>
    <w:rsid w:val="004D7C75"/>
    <w:rsid w:val="004E07D0"/>
    <w:rsid w:val="004E07F8"/>
    <w:rsid w:val="004E0928"/>
    <w:rsid w:val="004E737A"/>
    <w:rsid w:val="004F185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3F6"/>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22DD"/>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212C"/>
    <w:rsid w:val="00643141"/>
    <w:rsid w:val="00645015"/>
    <w:rsid w:val="00646C1D"/>
    <w:rsid w:val="006505F3"/>
    <w:rsid w:val="00652802"/>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8783D"/>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31D3"/>
    <w:rsid w:val="006B447B"/>
    <w:rsid w:val="006B453D"/>
    <w:rsid w:val="006B5836"/>
    <w:rsid w:val="006C0996"/>
    <w:rsid w:val="006C1DC1"/>
    <w:rsid w:val="006C350A"/>
    <w:rsid w:val="006C3DA2"/>
    <w:rsid w:val="006C634D"/>
    <w:rsid w:val="006C640B"/>
    <w:rsid w:val="006C6430"/>
    <w:rsid w:val="006D0258"/>
    <w:rsid w:val="006D4E8D"/>
    <w:rsid w:val="006D590F"/>
    <w:rsid w:val="006D5D22"/>
    <w:rsid w:val="006E0D4C"/>
    <w:rsid w:val="006E3887"/>
    <w:rsid w:val="006E6BA2"/>
    <w:rsid w:val="006E73A1"/>
    <w:rsid w:val="006E74F1"/>
    <w:rsid w:val="006E7547"/>
    <w:rsid w:val="006F4431"/>
    <w:rsid w:val="006F6E0F"/>
    <w:rsid w:val="007006B0"/>
    <w:rsid w:val="007019DC"/>
    <w:rsid w:val="00701F10"/>
    <w:rsid w:val="00702306"/>
    <w:rsid w:val="00702897"/>
    <w:rsid w:val="00702C5A"/>
    <w:rsid w:val="00703F1D"/>
    <w:rsid w:val="00703FAD"/>
    <w:rsid w:val="00704E8F"/>
    <w:rsid w:val="007105E5"/>
    <w:rsid w:val="00710F13"/>
    <w:rsid w:val="00712D3F"/>
    <w:rsid w:val="00717478"/>
    <w:rsid w:val="00721D3E"/>
    <w:rsid w:val="00722B02"/>
    <w:rsid w:val="00722C56"/>
    <w:rsid w:val="007252D3"/>
    <w:rsid w:val="007256D4"/>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074B"/>
    <w:rsid w:val="00756F3A"/>
    <w:rsid w:val="00757A74"/>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B4DB1"/>
    <w:rsid w:val="007C19AA"/>
    <w:rsid w:val="007C19D7"/>
    <w:rsid w:val="007C1D60"/>
    <w:rsid w:val="007C2808"/>
    <w:rsid w:val="007C312B"/>
    <w:rsid w:val="007C669E"/>
    <w:rsid w:val="007C6B36"/>
    <w:rsid w:val="007D0005"/>
    <w:rsid w:val="007D1270"/>
    <w:rsid w:val="007D25B7"/>
    <w:rsid w:val="007D64DE"/>
    <w:rsid w:val="007D689F"/>
    <w:rsid w:val="007E03E3"/>
    <w:rsid w:val="007E1316"/>
    <w:rsid w:val="007E2B11"/>
    <w:rsid w:val="007E33DE"/>
    <w:rsid w:val="007E4C61"/>
    <w:rsid w:val="007E5901"/>
    <w:rsid w:val="007E5FD3"/>
    <w:rsid w:val="007E7D5A"/>
    <w:rsid w:val="007F12CE"/>
    <w:rsid w:val="007F3791"/>
    <w:rsid w:val="007F497A"/>
    <w:rsid w:val="00800E14"/>
    <w:rsid w:val="0080169B"/>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8771D"/>
    <w:rsid w:val="00890667"/>
    <w:rsid w:val="008916FC"/>
    <w:rsid w:val="00894816"/>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6D7F"/>
    <w:rsid w:val="008E7057"/>
    <w:rsid w:val="008F00DE"/>
    <w:rsid w:val="008F073F"/>
    <w:rsid w:val="008F15E4"/>
    <w:rsid w:val="008F30F8"/>
    <w:rsid w:val="008F4096"/>
    <w:rsid w:val="008F623C"/>
    <w:rsid w:val="008F6439"/>
    <w:rsid w:val="00900919"/>
    <w:rsid w:val="009009ED"/>
    <w:rsid w:val="0090382B"/>
    <w:rsid w:val="00910B49"/>
    <w:rsid w:val="00911185"/>
    <w:rsid w:val="00911495"/>
    <w:rsid w:val="00911FEA"/>
    <w:rsid w:val="009126B9"/>
    <w:rsid w:val="0091270A"/>
    <w:rsid w:val="0091400C"/>
    <w:rsid w:val="00914687"/>
    <w:rsid w:val="00915170"/>
    <w:rsid w:val="00915D0D"/>
    <w:rsid w:val="00920163"/>
    <w:rsid w:val="00921DCD"/>
    <w:rsid w:val="00922762"/>
    <w:rsid w:val="009227EE"/>
    <w:rsid w:val="00927E4D"/>
    <w:rsid w:val="009361FA"/>
    <w:rsid w:val="009416AE"/>
    <w:rsid w:val="009422B8"/>
    <w:rsid w:val="009426CD"/>
    <w:rsid w:val="00942BDD"/>
    <w:rsid w:val="009431AB"/>
    <w:rsid w:val="009438A7"/>
    <w:rsid w:val="00943EA7"/>
    <w:rsid w:val="00946110"/>
    <w:rsid w:val="00947AA3"/>
    <w:rsid w:val="00947BA6"/>
    <w:rsid w:val="009519EE"/>
    <w:rsid w:val="00953B80"/>
    <w:rsid w:val="00955756"/>
    <w:rsid w:val="00960B1B"/>
    <w:rsid w:val="00961C33"/>
    <w:rsid w:val="00963694"/>
    <w:rsid w:val="00963829"/>
    <w:rsid w:val="009653C8"/>
    <w:rsid w:val="0096679C"/>
    <w:rsid w:val="00966939"/>
    <w:rsid w:val="00967966"/>
    <w:rsid w:val="0097066B"/>
    <w:rsid w:val="00971FA9"/>
    <w:rsid w:val="00972339"/>
    <w:rsid w:val="0097243F"/>
    <w:rsid w:val="009725D8"/>
    <w:rsid w:val="00974864"/>
    <w:rsid w:val="0097529C"/>
    <w:rsid w:val="00977700"/>
    <w:rsid w:val="00980CBF"/>
    <w:rsid w:val="00982CBB"/>
    <w:rsid w:val="00983DAD"/>
    <w:rsid w:val="00984342"/>
    <w:rsid w:val="00984632"/>
    <w:rsid w:val="009846AB"/>
    <w:rsid w:val="00985ACC"/>
    <w:rsid w:val="00985CDE"/>
    <w:rsid w:val="0098622E"/>
    <w:rsid w:val="00987906"/>
    <w:rsid w:val="00991C9D"/>
    <w:rsid w:val="00993871"/>
    <w:rsid w:val="00994855"/>
    <w:rsid w:val="0099563E"/>
    <w:rsid w:val="00996BCB"/>
    <w:rsid w:val="009A0719"/>
    <w:rsid w:val="009A0A05"/>
    <w:rsid w:val="009A2007"/>
    <w:rsid w:val="009A2113"/>
    <w:rsid w:val="009A2266"/>
    <w:rsid w:val="009A3136"/>
    <w:rsid w:val="009A35C0"/>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342"/>
    <w:rsid w:val="009D5785"/>
    <w:rsid w:val="009D58A2"/>
    <w:rsid w:val="009D79B9"/>
    <w:rsid w:val="009E0EF0"/>
    <w:rsid w:val="009E1A38"/>
    <w:rsid w:val="009F140E"/>
    <w:rsid w:val="009F333D"/>
    <w:rsid w:val="009F356F"/>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2B98"/>
    <w:rsid w:val="00A24146"/>
    <w:rsid w:val="00A26AB9"/>
    <w:rsid w:val="00A26B35"/>
    <w:rsid w:val="00A30616"/>
    <w:rsid w:val="00A32604"/>
    <w:rsid w:val="00A3314E"/>
    <w:rsid w:val="00A34AB6"/>
    <w:rsid w:val="00A35735"/>
    <w:rsid w:val="00A41704"/>
    <w:rsid w:val="00A4302E"/>
    <w:rsid w:val="00A4578E"/>
    <w:rsid w:val="00A46AC2"/>
    <w:rsid w:val="00A5336A"/>
    <w:rsid w:val="00A57CF5"/>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0D48"/>
    <w:rsid w:val="00B11575"/>
    <w:rsid w:val="00B121E1"/>
    <w:rsid w:val="00B13854"/>
    <w:rsid w:val="00B1439E"/>
    <w:rsid w:val="00B1491D"/>
    <w:rsid w:val="00B15AF5"/>
    <w:rsid w:val="00B1674E"/>
    <w:rsid w:val="00B17AD3"/>
    <w:rsid w:val="00B2104D"/>
    <w:rsid w:val="00B226F2"/>
    <w:rsid w:val="00B232F8"/>
    <w:rsid w:val="00B255B3"/>
    <w:rsid w:val="00B25CE4"/>
    <w:rsid w:val="00B267C7"/>
    <w:rsid w:val="00B274E9"/>
    <w:rsid w:val="00B27D98"/>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6728"/>
    <w:rsid w:val="00B8736D"/>
    <w:rsid w:val="00B879CC"/>
    <w:rsid w:val="00B90E01"/>
    <w:rsid w:val="00B912B4"/>
    <w:rsid w:val="00B92C02"/>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334E"/>
    <w:rsid w:val="00BC65E7"/>
    <w:rsid w:val="00BC76E9"/>
    <w:rsid w:val="00BD14A6"/>
    <w:rsid w:val="00BD1690"/>
    <w:rsid w:val="00BD3405"/>
    <w:rsid w:val="00BD4366"/>
    <w:rsid w:val="00BD5290"/>
    <w:rsid w:val="00BD5637"/>
    <w:rsid w:val="00BD6C6B"/>
    <w:rsid w:val="00BE1FCF"/>
    <w:rsid w:val="00BE3E2D"/>
    <w:rsid w:val="00BE40B1"/>
    <w:rsid w:val="00BE7E86"/>
    <w:rsid w:val="00BF0199"/>
    <w:rsid w:val="00BF104B"/>
    <w:rsid w:val="00BF538F"/>
    <w:rsid w:val="00BF667F"/>
    <w:rsid w:val="00C00CFC"/>
    <w:rsid w:val="00C02DF5"/>
    <w:rsid w:val="00C06DF8"/>
    <w:rsid w:val="00C100F5"/>
    <w:rsid w:val="00C112F5"/>
    <w:rsid w:val="00C12E9B"/>
    <w:rsid w:val="00C12F38"/>
    <w:rsid w:val="00C15820"/>
    <w:rsid w:val="00C15FF8"/>
    <w:rsid w:val="00C17C54"/>
    <w:rsid w:val="00C23C6B"/>
    <w:rsid w:val="00C255CE"/>
    <w:rsid w:val="00C26665"/>
    <w:rsid w:val="00C31534"/>
    <w:rsid w:val="00C31D72"/>
    <w:rsid w:val="00C33F64"/>
    <w:rsid w:val="00C3441E"/>
    <w:rsid w:val="00C34EC6"/>
    <w:rsid w:val="00C35641"/>
    <w:rsid w:val="00C370A6"/>
    <w:rsid w:val="00C401BF"/>
    <w:rsid w:val="00C411BB"/>
    <w:rsid w:val="00C416CD"/>
    <w:rsid w:val="00C424D7"/>
    <w:rsid w:val="00C42DFB"/>
    <w:rsid w:val="00C43776"/>
    <w:rsid w:val="00C447AA"/>
    <w:rsid w:val="00C45B46"/>
    <w:rsid w:val="00C45E21"/>
    <w:rsid w:val="00C47429"/>
    <w:rsid w:val="00C474B5"/>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02C8"/>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C7B6D"/>
    <w:rsid w:val="00CD0835"/>
    <w:rsid w:val="00CD0F80"/>
    <w:rsid w:val="00CD29DE"/>
    <w:rsid w:val="00CD4A33"/>
    <w:rsid w:val="00CD6A98"/>
    <w:rsid w:val="00CD78BB"/>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CF6889"/>
    <w:rsid w:val="00D02291"/>
    <w:rsid w:val="00D04FB9"/>
    <w:rsid w:val="00D06A14"/>
    <w:rsid w:val="00D07FF9"/>
    <w:rsid w:val="00D1113F"/>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590"/>
    <w:rsid w:val="00D45B62"/>
    <w:rsid w:val="00D45F1E"/>
    <w:rsid w:val="00D46CBA"/>
    <w:rsid w:val="00D50D3C"/>
    <w:rsid w:val="00D53949"/>
    <w:rsid w:val="00D54079"/>
    <w:rsid w:val="00D549B2"/>
    <w:rsid w:val="00D549E0"/>
    <w:rsid w:val="00D5503C"/>
    <w:rsid w:val="00D557E5"/>
    <w:rsid w:val="00D60A2F"/>
    <w:rsid w:val="00D61219"/>
    <w:rsid w:val="00D640ED"/>
    <w:rsid w:val="00D6467F"/>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94E98"/>
    <w:rsid w:val="00D9660E"/>
    <w:rsid w:val="00DA035E"/>
    <w:rsid w:val="00DA2A7E"/>
    <w:rsid w:val="00DA3B37"/>
    <w:rsid w:val="00DA5CEF"/>
    <w:rsid w:val="00DA755B"/>
    <w:rsid w:val="00DA7836"/>
    <w:rsid w:val="00DB0789"/>
    <w:rsid w:val="00DB0B67"/>
    <w:rsid w:val="00DB107B"/>
    <w:rsid w:val="00DB1736"/>
    <w:rsid w:val="00DB3A08"/>
    <w:rsid w:val="00DB6265"/>
    <w:rsid w:val="00DB6FE4"/>
    <w:rsid w:val="00DB7CC5"/>
    <w:rsid w:val="00DC1095"/>
    <w:rsid w:val="00DC1455"/>
    <w:rsid w:val="00DC2219"/>
    <w:rsid w:val="00DC287F"/>
    <w:rsid w:val="00DC42E5"/>
    <w:rsid w:val="00DC669A"/>
    <w:rsid w:val="00DC7EF8"/>
    <w:rsid w:val="00DD177E"/>
    <w:rsid w:val="00DD1B7E"/>
    <w:rsid w:val="00DD2A26"/>
    <w:rsid w:val="00DD529E"/>
    <w:rsid w:val="00DD6B7F"/>
    <w:rsid w:val="00DD7FE9"/>
    <w:rsid w:val="00DE3395"/>
    <w:rsid w:val="00DE4686"/>
    <w:rsid w:val="00DE761A"/>
    <w:rsid w:val="00DF069E"/>
    <w:rsid w:val="00DF2C68"/>
    <w:rsid w:val="00E0075E"/>
    <w:rsid w:val="00E00F46"/>
    <w:rsid w:val="00E02F08"/>
    <w:rsid w:val="00E04A60"/>
    <w:rsid w:val="00E056CD"/>
    <w:rsid w:val="00E058E4"/>
    <w:rsid w:val="00E07BDD"/>
    <w:rsid w:val="00E07D78"/>
    <w:rsid w:val="00E10E58"/>
    <w:rsid w:val="00E10F92"/>
    <w:rsid w:val="00E112EC"/>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6A85"/>
    <w:rsid w:val="00E47CD0"/>
    <w:rsid w:val="00E51257"/>
    <w:rsid w:val="00E52D15"/>
    <w:rsid w:val="00E54A89"/>
    <w:rsid w:val="00E57524"/>
    <w:rsid w:val="00E614F2"/>
    <w:rsid w:val="00E634E5"/>
    <w:rsid w:val="00E637DB"/>
    <w:rsid w:val="00E65C23"/>
    <w:rsid w:val="00E6697D"/>
    <w:rsid w:val="00E66B9E"/>
    <w:rsid w:val="00E71175"/>
    <w:rsid w:val="00E72249"/>
    <w:rsid w:val="00E73FED"/>
    <w:rsid w:val="00E75290"/>
    <w:rsid w:val="00E803DC"/>
    <w:rsid w:val="00E852FB"/>
    <w:rsid w:val="00E85BD7"/>
    <w:rsid w:val="00E9104D"/>
    <w:rsid w:val="00E9104F"/>
    <w:rsid w:val="00E9115F"/>
    <w:rsid w:val="00E913E2"/>
    <w:rsid w:val="00E932ED"/>
    <w:rsid w:val="00E9446C"/>
    <w:rsid w:val="00E965BD"/>
    <w:rsid w:val="00E9696F"/>
    <w:rsid w:val="00EA0389"/>
    <w:rsid w:val="00EA0ED5"/>
    <w:rsid w:val="00EA117C"/>
    <w:rsid w:val="00EA3358"/>
    <w:rsid w:val="00EA481E"/>
    <w:rsid w:val="00EA6523"/>
    <w:rsid w:val="00EA76F3"/>
    <w:rsid w:val="00EA7AE7"/>
    <w:rsid w:val="00EB03A1"/>
    <w:rsid w:val="00EB27C2"/>
    <w:rsid w:val="00EB32D4"/>
    <w:rsid w:val="00EB47E7"/>
    <w:rsid w:val="00EB4BF1"/>
    <w:rsid w:val="00EB53BE"/>
    <w:rsid w:val="00EB592E"/>
    <w:rsid w:val="00EB5DEB"/>
    <w:rsid w:val="00EB602F"/>
    <w:rsid w:val="00EB7936"/>
    <w:rsid w:val="00EC0DFD"/>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0196"/>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365A4"/>
    <w:rsid w:val="00F412F6"/>
    <w:rsid w:val="00F43004"/>
    <w:rsid w:val="00F45169"/>
    <w:rsid w:val="00F46966"/>
    <w:rsid w:val="00F46BCE"/>
    <w:rsid w:val="00F50A25"/>
    <w:rsid w:val="00F50D86"/>
    <w:rsid w:val="00F513B5"/>
    <w:rsid w:val="00F538E0"/>
    <w:rsid w:val="00F53CB8"/>
    <w:rsid w:val="00F53EA7"/>
    <w:rsid w:val="00F54BFA"/>
    <w:rsid w:val="00F56E96"/>
    <w:rsid w:val="00F60294"/>
    <w:rsid w:val="00F606E4"/>
    <w:rsid w:val="00F60E02"/>
    <w:rsid w:val="00F63FD9"/>
    <w:rsid w:val="00F64D09"/>
    <w:rsid w:val="00F66636"/>
    <w:rsid w:val="00F70E19"/>
    <w:rsid w:val="00F719CF"/>
    <w:rsid w:val="00F73E7A"/>
    <w:rsid w:val="00F76C6A"/>
    <w:rsid w:val="00F776B9"/>
    <w:rsid w:val="00F84F78"/>
    <w:rsid w:val="00F86132"/>
    <w:rsid w:val="00F869B5"/>
    <w:rsid w:val="00F875D9"/>
    <w:rsid w:val="00F876FB"/>
    <w:rsid w:val="00F931CB"/>
    <w:rsid w:val="00FA1E6D"/>
    <w:rsid w:val="00FA3AA0"/>
    <w:rsid w:val="00FA3CE9"/>
    <w:rsid w:val="00FA6D0F"/>
    <w:rsid w:val="00FA6E90"/>
    <w:rsid w:val="00FB0C8A"/>
    <w:rsid w:val="00FB1706"/>
    <w:rsid w:val="00FB1CAF"/>
    <w:rsid w:val="00FB39C9"/>
    <w:rsid w:val="00FB3E39"/>
    <w:rsid w:val="00FB6E23"/>
    <w:rsid w:val="00FB7FAE"/>
    <w:rsid w:val="00FC0003"/>
    <w:rsid w:val="00FC02D8"/>
    <w:rsid w:val="00FC4BD4"/>
    <w:rsid w:val="00FC5475"/>
    <w:rsid w:val="00FC6827"/>
    <w:rsid w:val="00FD0CAD"/>
    <w:rsid w:val="00FD6398"/>
    <w:rsid w:val="00FD7C3C"/>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uiPriority w:val="20"/>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 w:type="character" w:customStyle="1" w:styleId="in-right">
    <w:name w:val="in-right"/>
    <w:basedOn w:val="Fuentedeprrafopredeter"/>
    <w:rsid w:val="00BE1FCF"/>
  </w:style>
  <w:style w:type="paragraph" w:customStyle="1" w:styleId="selectionshareable">
    <w:name w:val="selectionshareable"/>
    <w:basedOn w:val="Normal"/>
    <w:rsid w:val="00BE1FCF"/>
    <w:pPr>
      <w:spacing w:before="100" w:beforeAutospacing="1" w:after="100" w:afterAutospacing="1"/>
    </w:pPr>
  </w:style>
  <w:style w:type="character" w:customStyle="1" w:styleId="teads-ui-components-credits-colored">
    <w:name w:val="teads-ui-components-credits-colored"/>
    <w:basedOn w:val="Fuentedeprrafopredeter"/>
    <w:rsid w:val="00BE1FCF"/>
  </w:style>
  <w:style w:type="paragraph" w:customStyle="1" w:styleId="pau1">
    <w:name w:val="pau1"/>
    <w:basedOn w:val="Normal"/>
    <w:rsid w:val="009519EE"/>
    <w:pPr>
      <w:spacing w:before="100" w:beforeAutospacing="1" w:after="100" w:afterAutospacing="1"/>
      <w:jc w:val="center"/>
    </w:pPr>
    <w:rPr>
      <w:b/>
      <w:bCs/>
      <w:color w:val="00255C"/>
    </w:rPr>
  </w:style>
  <w:style w:type="paragraph" w:customStyle="1" w:styleId="ppr1">
    <w:name w:val="ppr1"/>
    <w:basedOn w:val="Normal"/>
    <w:rsid w:val="009519EE"/>
    <w:pPr>
      <w:spacing w:before="100" w:beforeAutospacing="1" w:after="100" w:afterAutospacing="1"/>
      <w:jc w:val="center"/>
    </w:pPr>
    <w:rPr>
      <w:i/>
      <w:iCs/>
      <w:color w:val="333333"/>
    </w:rPr>
  </w:style>
  <w:style w:type="paragraph" w:customStyle="1" w:styleId="pex1">
    <w:name w:val="pex1"/>
    <w:basedOn w:val="Normal"/>
    <w:rsid w:val="009519EE"/>
    <w:pPr>
      <w:spacing w:before="100" w:beforeAutospacing="1" w:after="100" w:afterAutospacing="1"/>
      <w:jc w:val="center"/>
    </w:pPr>
    <w:rPr>
      <w:color w:val="333333"/>
    </w:rPr>
  </w:style>
  <w:style w:type="paragraph" w:customStyle="1" w:styleId="d11">
    <w:name w:val="d11"/>
    <w:basedOn w:val="Normal"/>
    <w:rsid w:val="009519EE"/>
    <w:pPr>
      <w:spacing w:before="120" w:after="120"/>
      <w:ind w:left="120" w:right="120"/>
      <w:jc w:val="center"/>
    </w:pPr>
    <w:rPr>
      <w:b/>
      <w:bCs/>
      <w:color w:val="00255C"/>
      <w:sz w:val="26"/>
      <w:szCs w:val="26"/>
    </w:rPr>
  </w:style>
  <w:style w:type="paragraph" w:customStyle="1" w:styleId="d21">
    <w:name w:val="d21"/>
    <w:basedOn w:val="Normal"/>
    <w:rsid w:val="009519EE"/>
    <w:pPr>
      <w:spacing w:before="120" w:after="120"/>
      <w:ind w:left="120" w:right="120"/>
      <w:jc w:val="center"/>
    </w:pPr>
    <w:rPr>
      <w:b/>
      <w:bCs/>
      <w:color w:val="00255C"/>
      <w:sz w:val="26"/>
      <w:szCs w:val="26"/>
    </w:rPr>
  </w:style>
  <w:style w:type="character" w:customStyle="1" w:styleId="extracto">
    <w:name w:val="extracto"/>
    <w:basedOn w:val="Fuentedeprrafopredeter"/>
    <w:rsid w:val="00EB03A1"/>
  </w:style>
  <w:style w:type="character" w:customStyle="1" w:styleId="fecha">
    <w:name w:val="fecha"/>
    <w:basedOn w:val="Fuentedeprrafopredeter"/>
    <w:rsid w:val="002570FE"/>
  </w:style>
  <w:style w:type="paragraph" w:customStyle="1" w:styleId="entradilla1">
    <w:name w:val="entradilla1"/>
    <w:basedOn w:val="Normal"/>
    <w:rsid w:val="002570FE"/>
    <w:pPr>
      <w:pBdr>
        <w:top w:val="single" w:sz="12" w:space="0" w:color="CCCCCC"/>
        <w:left w:val="single" w:sz="12" w:space="0" w:color="CCCCCC"/>
        <w:bottom w:val="single" w:sz="12" w:space="0" w:color="CCCCCC"/>
        <w:right w:val="single" w:sz="12" w:space="0" w:color="CCCCCC"/>
      </w:pBdr>
      <w:shd w:val="clear" w:color="auto" w:fill="EFEFEF"/>
      <w:spacing w:before="100" w:beforeAutospacing="1" w:after="240" w:line="360" w:lineRule="atLeast"/>
    </w:pPr>
    <w:rPr>
      <w:color w:val="333333"/>
      <w:sz w:val="22"/>
      <w:szCs w:val="22"/>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sChild>
        <w:div w:id="478571059">
          <w:marLeft w:val="0"/>
          <w:marRight w:val="0"/>
          <w:marTop w:val="0"/>
          <w:marBottom w:val="0"/>
          <w:divBdr>
            <w:top w:val="none" w:sz="0" w:space="0" w:color="auto"/>
            <w:left w:val="none" w:sz="0" w:space="0" w:color="auto"/>
            <w:bottom w:val="none" w:sz="0" w:space="0" w:color="auto"/>
            <w:right w:val="none" w:sz="0" w:space="0" w:color="auto"/>
          </w:divBdr>
          <w:divsChild>
            <w:div w:id="1943416382">
              <w:marLeft w:val="0"/>
              <w:marRight w:val="0"/>
              <w:marTop w:val="0"/>
              <w:marBottom w:val="0"/>
              <w:divBdr>
                <w:top w:val="none" w:sz="0" w:space="0" w:color="auto"/>
                <w:left w:val="none" w:sz="0" w:space="0" w:color="auto"/>
                <w:bottom w:val="none" w:sz="0" w:space="0" w:color="auto"/>
                <w:right w:val="none" w:sz="0" w:space="0" w:color="auto"/>
              </w:divBdr>
              <w:divsChild>
                <w:div w:id="936328152">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1648166322">
                          <w:marLeft w:val="0"/>
                          <w:marRight w:val="0"/>
                          <w:marTop w:val="0"/>
                          <w:marBottom w:val="0"/>
                          <w:divBdr>
                            <w:top w:val="none" w:sz="0" w:space="0" w:color="auto"/>
                            <w:left w:val="none" w:sz="0" w:space="0" w:color="auto"/>
                            <w:bottom w:val="none" w:sz="0" w:space="0" w:color="auto"/>
                            <w:right w:val="none" w:sz="0" w:space="0" w:color="auto"/>
                          </w:divBdr>
                          <w:divsChild>
                            <w:div w:id="3373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653829652">
      <w:bodyDiv w:val="1"/>
      <w:marLeft w:val="0"/>
      <w:marRight w:val="0"/>
      <w:marTop w:val="0"/>
      <w:marBottom w:val="0"/>
      <w:divBdr>
        <w:top w:val="none" w:sz="0" w:space="0" w:color="auto"/>
        <w:left w:val="none" w:sz="0" w:space="0" w:color="auto"/>
        <w:bottom w:val="none" w:sz="0" w:space="0" w:color="auto"/>
        <w:right w:val="none" w:sz="0" w:space="0" w:color="auto"/>
      </w:divBdr>
      <w:divsChild>
        <w:div w:id="112335750">
          <w:marLeft w:val="0"/>
          <w:marRight w:val="0"/>
          <w:marTop w:val="360"/>
          <w:marBottom w:val="0"/>
          <w:divBdr>
            <w:top w:val="single" w:sz="12" w:space="0" w:color="CAC7C7"/>
            <w:left w:val="single" w:sz="12" w:space="0" w:color="CAC7C7"/>
            <w:bottom w:val="single" w:sz="12" w:space="0" w:color="CAC7C7"/>
            <w:right w:val="single" w:sz="12" w:space="0" w:color="CAC7C7"/>
          </w:divBdr>
          <w:divsChild>
            <w:div w:id="893928953">
              <w:marLeft w:val="0"/>
              <w:marRight w:val="0"/>
              <w:marTop w:val="0"/>
              <w:marBottom w:val="0"/>
              <w:divBdr>
                <w:top w:val="none" w:sz="0" w:space="0" w:color="auto"/>
                <w:left w:val="none" w:sz="0" w:space="0" w:color="auto"/>
                <w:bottom w:val="none" w:sz="0" w:space="0" w:color="auto"/>
                <w:right w:val="none" w:sz="0" w:space="0" w:color="auto"/>
              </w:divBdr>
              <w:divsChild>
                <w:div w:id="3806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2FAE4-1958-454D-9BCB-CFB126423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520</Words>
  <Characters>2864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3378</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2016-12-02T21:38:00Z</dcterms:created>
  <dcterms:modified xsi:type="dcterms:W3CDTF">2016-12-02T21:38:00Z</dcterms:modified>
</cp:coreProperties>
</file>